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AD6B" w14:textId="78A0BBE6" w:rsidR="003243BB" w:rsidRDefault="00AF1832">
      <w:r>
        <w:rPr>
          <w:noProof/>
        </w:rPr>
        <w:drawing>
          <wp:inline distT="0" distB="0" distL="0" distR="0" wp14:anchorId="495559DE" wp14:editId="7E065467">
            <wp:extent cx="2324100" cy="635000"/>
            <wp:effectExtent l="0" t="0" r="0" b="0"/>
            <wp:docPr id="8693207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2078" name="Picture 1" descr="A blue letter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24100" cy="635000"/>
                    </a:xfrm>
                    <a:prstGeom prst="rect">
                      <a:avLst/>
                    </a:prstGeom>
                  </pic:spPr>
                </pic:pic>
              </a:graphicData>
            </a:graphic>
          </wp:inline>
        </w:drawing>
      </w:r>
    </w:p>
    <w:p w14:paraId="6CFBE9E4" w14:textId="1748C7F1" w:rsidR="003D0B24" w:rsidRPr="00FF6AC6" w:rsidRDefault="003D0B24">
      <w:pPr>
        <w:rPr>
          <w:rFonts w:asciiTheme="majorBidi" w:hAnsiTheme="majorBidi" w:cstheme="majorBidi"/>
          <w:b/>
          <w:bCs/>
          <w:sz w:val="26"/>
          <w:szCs w:val="26"/>
          <w:lang w:val="en-GB"/>
        </w:rPr>
      </w:pPr>
      <w:r w:rsidRPr="00FF6AC6">
        <w:rPr>
          <w:rFonts w:asciiTheme="majorBidi" w:hAnsiTheme="majorBidi" w:cstheme="majorBidi"/>
          <w:b/>
          <w:bCs/>
          <w:sz w:val="26"/>
          <w:szCs w:val="26"/>
          <w:lang w:val="en-GB"/>
        </w:rPr>
        <w:t>ONLINE SUPPLEMENTARY DOCUMENT</w:t>
      </w:r>
    </w:p>
    <w:p w14:paraId="4B26B4E6" w14:textId="7FFDCEDF" w:rsidR="00C25795" w:rsidRPr="00A26388" w:rsidRDefault="00C25795" w:rsidP="00C25795">
      <w:pPr>
        <w:pStyle w:val="RunHead"/>
        <w:rPr>
          <w:i/>
          <w:szCs w:val="24"/>
          <w:lang w:val="en-GB"/>
        </w:rPr>
      </w:pPr>
      <w:r>
        <w:rPr>
          <w:i/>
          <w:szCs w:val="24"/>
          <w:lang w:val="en-GB"/>
        </w:rPr>
        <w:t>Duff</w:t>
      </w:r>
      <w:r w:rsidRPr="00A26388">
        <w:rPr>
          <w:i/>
          <w:szCs w:val="24"/>
          <w:lang w:val="en-GB"/>
        </w:rPr>
        <w:t xml:space="preserve"> </w:t>
      </w:r>
      <w:r>
        <w:rPr>
          <w:i/>
          <w:szCs w:val="24"/>
          <w:lang w:val="en-GB"/>
        </w:rPr>
        <w:t>R</w:t>
      </w:r>
      <w:r w:rsidRPr="00A26388">
        <w:rPr>
          <w:i/>
          <w:szCs w:val="24"/>
          <w:lang w:val="en-GB"/>
        </w:rPr>
        <w:t xml:space="preserve">, </w:t>
      </w:r>
      <w:r>
        <w:rPr>
          <w:i/>
          <w:szCs w:val="24"/>
          <w:lang w:val="en-GB"/>
        </w:rPr>
        <w:t xml:space="preserve">Patel F, </w:t>
      </w:r>
      <w:proofErr w:type="spellStart"/>
      <w:r>
        <w:rPr>
          <w:i/>
          <w:szCs w:val="24"/>
          <w:lang w:val="en-GB"/>
        </w:rPr>
        <w:t>Dumouza</w:t>
      </w:r>
      <w:proofErr w:type="spellEnd"/>
      <w:r>
        <w:rPr>
          <w:i/>
          <w:szCs w:val="24"/>
          <w:lang w:val="en-GB"/>
        </w:rPr>
        <w:t xml:space="preserve"> A, Brown L, </w:t>
      </w:r>
      <w:proofErr w:type="spellStart"/>
      <w:r>
        <w:rPr>
          <w:i/>
          <w:szCs w:val="24"/>
          <w:lang w:val="en-GB"/>
        </w:rPr>
        <w:t>Embeke</w:t>
      </w:r>
      <w:proofErr w:type="spellEnd"/>
      <w:r>
        <w:rPr>
          <w:i/>
          <w:szCs w:val="24"/>
          <w:lang w:val="en-GB"/>
        </w:rPr>
        <w:t xml:space="preserve"> N, </w:t>
      </w:r>
      <w:proofErr w:type="spellStart"/>
      <w:r>
        <w:rPr>
          <w:i/>
          <w:szCs w:val="24"/>
          <w:lang w:val="en-GB"/>
        </w:rPr>
        <w:t>Fataki</w:t>
      </w:r>
      <w:proofErr w:type="spellEnd"/>
      <w:r>
        <w:rPr>
          <w:i/>
          <w:szCs w:val="24"/>
          <w:lang w:val="en-GB"/>
        </w:rPr>
        <w:t xml:space="preserve"> J, Haile M, Conn</w:t>
      </w:r>
      <w:r w:rsidR="003C22C2">
        <w:rPr>
          <w:i/>
          <w:szCs w:val="24"/>
          <w:lang w:val="en-GB"/>
        </w:rPr>
        <w:t>e</w:t>
      </w:r>
      <w:r>
        <w:rPr>
          <w:i/>
          <w:szCs w:val="24"/>
          <w:lang w:val="en-GB"/>
        </w:rPr>
        <w:t>rs A, Pickett C</w:t>
      </w:r>
      <w:r w:rsidRPr="00A26388">
        <w:rPr>
          <w:i/>
          <w:szCs w:val="24"/>
          <w:lang w:val="en-GB"/>
        </w:rPr>
        <w:t xml:space="preserve">. </w:t>
      </w:r>
      <w:proofErr w:type="gramStart"/>
      <w:r w:rsidRPr="003F4458">
        <w:rPr>
          <w:rFonts w:eastAsiaTheme="majorEastAsia"/>
          <w:i/>
          <w:szCs w:val="24"/>
          <w:lang w:val="en-GB"/>
        </w:rPr>
        <w:t>Facilitators</w:t>
      </w:r>
      <w:proofErr w:type="gramEnd"/>
      <w:r w:rsidRPr="003F4458">
        <w:rPr>
          <w:rFonts w:eastAsiaTheme="majorEastAsia"/>
          <w:i/>
          <w:szCs w:val="24"/>
          <w:lang w:val="en-GB"/>
        </w:rPr>
        <w:t xml:space="preserve"> and barriers to supply-side maternal, </w:t>
      </w:r>
      <w:proofErr w:type="spellStart"/>
      <w:r w:rsidRPr="003F4458">
        <w:rPr>
          <w:rFonts w:eastAsiaTheme="majorEastAsia"/>
          <w:i/>
          <w:szCs w:val="24"/>
          <w:lang w:val="en-GB"/>
        </w:rPr>
        <w:t>newborn</w:t>
      </w:r>
      <w:proofErr w:type="spellEnd"/>
      <w:r w:rsidRPr="003F4458">
        <w:rPr>
          <w:rFonts w:eastAsiaTheme="majorEastAsia"/>
          <w:i/>
          <w:szCs w:val="24"/>
          <w:lang w:val="en-GB"/>
        </w:rPr>
        <w:t xml:space="preserve">, and </w:t>
      </w:r>
      <w:r w:rsidRPr="00F3123D">
        <w:rPr>
          <w:rFonts w:eastAsiaTheme="majorEastAsia"/>
          <w:i/>
          <w:szCs w:val="24"/>
          <w:lang w:val="en-GB"/>
        </w:rPr>
        <w:t>child health service availability in DRC: A systematic review and narrative synthesis</w:t>
      </w:r>
      <w:r w:rsidRPr="00F3123D">
        <w:rPr>
          <w:i/>
          <w:szCs w:val="24"/>
          <w:lang w:val="en-GB"/>
        </w:rPr>
        <w:t>. J Glob Health Rep 202</w:t>
      </w:r>
      <w:r w:rsidR="00AF1832">
        <w:rPr>
          <w:i/>
          <w:szCs w:val="24"/>
          <w:lang w:val="en-GB"/>
        </w:rPr>
        <w:t>3</w:t>
      </w:r>
      <w:r w:rsidRPr="00F3123D">
        <w:rPr>
          <w:i/>
          <w:szCs w:val="24"/>
          <w:lang w:val="en-GB"/>
        </w:rPr>
        <w:t>;</w:t>
      </w:r>
      <w:proofErr w:type="gramStart"/>
      <w:r w:rsidR="00AF1832">
        <w:rPr>
          <w:i/>
          <w:szCs w:val="24"/>
          <w:lang w:val="en-GB"/>
        </w:rPr>
        <w:t>3</w:t>
      </w:r>
      <w:r w:rsidRPr="00F3123D">
        <w:rPr>
          <w:i/>
          <w:szCs w:val="24"/>
          <w:lang w:val="en-GB"/>
        </w:rPr>
        <w:t>:e</w:t>
      </w:r>
      <w:proofErr w:type="gramEnd"/>
      <w:r w:rsidRPr="00F3123D">
        <w:rPr>
          <w:i/>
          <w:szCs w:val="24"/>
          <w:lang w:val="en-GB"/>
        </w:rPr>
        <w:t>202</w:t>
      </w:r>
      <w:r w:rsidR="00AF1832">
        <w:rPr>
          <w:i/>
          <w:szCs w:val="24"/>
          <w:lang w:val="en-GB"/>
        </w:rPr>
        <w:t>3005</w:t>
      </w:r>
      <w:r w:rsidRPr="00F3123D">
        <w:rPr>
          <w:i/>
          <w:szCs w:val="24"/>
          <w:lang w:val="en-GB"/>
        </w:rPr>
        <w:t>.</w:t>
      </w:r>
    </w:p>
    <w:p w14:paraId="005FEBAE" w14:textId="6976491D" w:rsidR="00FF6AC6" w:rsidRDefault="00FF6AC6">
      <w:r>
        <w:br w:type="page"/>
      </w:r>
    </w:p>
    <w:p w14:paraId="79DFD80A" w14:textId="096CB7C5" w:rsidR="00441D78" w:rsidRPr="00921A26" w:rsidRDefault="00446057" w:rsidP="00D404E9">
      <w:pPr>
        <w:rPr>
          <w:rFonts w:asciiTheme="majorBidi" w:hAnsiTheme="majorBidi" w:cstheme="majorBidi"/>
          <w:sz w:val="26"/>
          <w:szCs w:val="26"/>
        </w:rPr>
      </w:pPr>
      <w:r w:rsidRPr="00921A26">
        <w:rPr>
          <w:rFonts w:asciiTheme="majorBidi" w:hAnsiTheme="majorBidi" w:cstheme="majorBidi"/>
          <w:b/>
          <w:bCs/>
          <w:sz w:val="26"/>
          <w:szCs w:val="26"/>
        </w:rPr>
        <w:lastRenderedPageBreak/>
        <w:t>Figure 1.</w:t>
      </w:r>
      <w:r w:rsidRPr="00921A26">
        <w:rPr>
          <w:rFonts w:asciiTheme="majorBidi" w:hAnsiTheme="majorBidi" w:cstheme="majorBidi"/>
          <w:sz w:val="26"/>
          <w:szCs w:val="26"/>
        </w:rPr>
        <w:t xml:space="preserve"> PRISMA Checklist</w:t>
      </w:r>
    </w:p>
    <w:tbl>
      <w:tblPr>
        <w:tblW w:w="11448" w:type="dxa"/>
        <w:tblBorders>
          <w:top w:val="nil"/>
          <w:left w:val="nil"/>
          <w:bottom w:val="nil"/>
          <w:right w:val="nil"/>
        </w:tblBorders>
        <w:tblLook w:val="0000" w:firstRow="0" w:lastRow="0" w:firstColumn="0" w:lastColumn="0" w:noHBand="0" w:noVBand="0"/>
      </w:tblPr>
      <w:tblGrid>
        <w:gridCol w:w="1650"/>
        <w:gridCol w:w="675"/>
        <w:gridCol w:w="7806"/>
        <w:gridCol w:w="1317"/>
      </w:tblGrid>
      <w:tr w:rsidR="00200A07" w:rsidRPr="004C1685" w14:paraId="0B8FB72C" w14:textId="77777777" w:rsidTr="49279BE2">
        <w:trPr>
          <w:trHeight w:val="65"/>
          <w:tblHeader/>
        </w:trPr>
        <w:tc>
          <w:tcPr>
            <w:tcW w:w="1650"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12E0E1FE" w14:textId="77777777" w:rsidR="00200A07" w:rsidRPr="00061884" w:rsidRDefault="00200A07" w:rsidP="00C1776D">
            <w:pPr>
              <w:pStyle w:val="Default"/>
              <w:rPr>
                <w:rFonts w:ascii="Arial Narrow" w:hAnsi="Arial Narrow" w:cs="Arial"/>
                <w:color w:val="FFFFFF"/>
                <w:sz w:val="20"/>
                <w:szCs w:val="20"/>
              </w:rPr>
            </w:pPr>
            <w:r w:rsidRPr="00061884">
              <w:rPr>
                <w:rFonts w:ascii="Arial Narrow" w:hAnsi="Arial Narrow" w:cs="Arial"/>
                <w:b/>
                <w:bCs/>
                <w:color w:val="FFFFFF"/>
                <w:sz w:val="20"/>
                <w:szCs w:val="20"/>
              </w:rPr>
              <w:t xml:space="preserve">Section and Topic </w:t>
            </w:r>
          </w:p>
        </w:tc>
        <w:tc>
          <w:tcPr>
            <w:tcW w:w="675"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584A77C2" w14:textId="77777777" w:rsidR="00200A07" w:rsidRPr="00061884" w:rsidRDefault="00200A07" w:rsidP="00C1776D">
            <w:pPr>
              <w:pStyle w:val="Default"/>
              <w:rPr>
                <w:rFonts w:ascii="Arial Narrow" w:hAnsi="Arial Narrow" w:cs="Arial"/>
                <w:b/>
                <w:bCs/>
                <w:color w:val="FFFFFF"/>
                <w:sz w:val="20"/>
                <w:szCs w:val="20"/>
              </w:rPr>
            </w:pPr>
            <w:r w:rsidRPr="00061884">
              <w:rPr>
                <w:rFonts w:ascii="Arial Narrow" w:hAnsi="Arial Narrow" w:cs="Arial"/>
                <w:b/>
                <w:bCs/>
                <w:color w:val="FFFFFF"/>
                <w:sz w:val="20"/>
                <w:szCs w:val="20"/>
              </w:rPr>
              <w:t>Item #</w:t>
            </w:r>
          </w:p>
        </w:tc>
        <w:tc>
          <w:tcPr>
            <w:tcW w:w="7806"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3BE126F1" w14:textId="77777777" w:rsidR="00200A07" w:rsidRPr="00061884" w:rsidRDefault="00200A07" w:rsidP="00C1776D">
            <w:pPr>
              <w:pStyle w:val="Default"/>
              <w:rPr>
                <w:rFonts w:ascii="Arial Narrow" w:hAnsi="Arial Narrow" w:cs="Arial"/>
                <w:color w:val="FFFFFF"/>
                <w:sz w:val="20"/>
                <w:szCs w:val="20"/>
              </w:rPr>
            </w:pPr>
            <w:r w:rsidRPr="00061884">
              <w:rPr>
                <w:rFonts w:ascii="Arial Narrow" w:hAnsi="Arial Narrow" w:cs="Arial"/>
                <w:b/>
                <w:bCs/>
                <w:color w:val="FFFFFF"/>
                <w:sz w:val="20"/>
                <w:szCs w:val="20"/>
              </w:rPr>
              <w:t xml:space="preserve">Checklist item </w:t>
            </w:r>
          </w:p>
        </w:tc>
        <w:tc>
          <w:tcPr>
            <w:tcW w:w="1317"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479FC0BE" w14:textId="77777777" w:rsidR="00200A07" w:rsidRPr="00061884" w:rsidRDefault="00200A07" w:rsidP="00C1776D">
            <w:pPr>
              <w:pStyle w:val="Default"/>
              <w:rPr>
                <w:rFonts w:ascii="Arial Narrow" w:hAnsi="Arial Narrow" w:cs="Arial"/>
                <w:b/>
                <w:bCs/>
                <w:color w:val="FFFFFF"/>
                <w:sz w:val="20"/>
                <w:szCs w:val="20"/>
              </w:rPr>
            </w:pPr>
            <w:r w:rsidRPr="00061884">
              <w:rPr>
                <w:rFonts w:ascii="Arial Narrow" w:hAnsi="Arial Narrow" w:cs="Arial"/>
                <w:b/>
                <w:bCs/>
                <w:color w:val="FFFFFF"/>
                <w:sz w:val="20"/>
                <w:szCs w:val="20"/>
              </w:rPr>
              <w:t xml:space="preserve">Location where item is </w:t>
            </w:r>
            <w:proofErr w:type="gramStart"/>
            <w:r w:rsidRPr="00061884">
              <w:rPr>
                <w:rFonts w:ascii="Arial Narrow" w:hAnsi="Arial Narrow" w:cs="Arial"/>
                <w:b/>
                <w:bCs/>
                <w:color w:val="FFFFFF"/>
                <w:sz w:val="20"/>
                <w:szCs w:val="20"/>
              </w:rPr>
              <w:t>reported</w:t>
            </w:r>
            <w:proofErr w:type="gramEnd"/>
          </w:p>
          <w:p w14:paraId="56B22704" w14:textId="77777777" w:rsidR="00200A07" w:rsidRPr="00061884" w:rsidRDefault="00200A07" w:rsidP="00C1776D">
            <w:pPr>
              <w:pStyle w:val="Default"/>
              <w:rPr>
                <w:rFonts w:ascii="Arial Narrow" w:hAnsi="Arial Narrow" w:cs="Arial"/>
                <w:color w:val="FFFFFF"/>
                <w:sz w:val="20"/>
                <w:szCs w:val="20"/>
              </w:rPr>
            </w:pPr>
          </w:p>
        </w:tc>
      </w:tr>
      <w:tr w:rsidR="00200A07" w:rsidRPr="004C1685" w14:paraId="066EEE63"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2372C9FC" w14:textId="77777777" w:rsidR="00200A07" w:rsidRPr="00061884" w:rsidRDefault="00200A07" w:rsidP="00C1776D">
            <w:pPr>
              <w:pStyle w:val="Default"/>
              <w:rPr>
                <w:rFonts w:ascii="Arial Narrow" w:hAnsi="Arial Narrow" w:cs="Arial"/>
                <w:sz w:val="20"/>
                <w:szCs w:val="20"/>
              </w:rPr>
            </w:pPr>
            <w:r w:rsidRPr="00061884">
              <w:rPr>
                <w:rFonts w:ascii="Arial Narrow" w:hAnsi="Arial Narrow" w:cs="Arial"/>
                <w:b/>
                <w:bCs/>
                <w:sz w:val="20"/>
                <w:szCs w:val="20"/>
              </w:rPr>
              <w:t xml:space="preserve">TITLE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05BB8877" w14:textId="77777777" w:rsidR="00200A07" w:rsidRPr="00061884" w:rsidRDefault="00200A07" w:rsidP="00C1776D">
            <w:pPr>
              <w:pStyle w:val="Default"/>
              <w:jc w:val="right"/>
              <w:rPr>
                <w:rFonts w:ascii="Arial Narrow" w:hAnsi="Arial Narrow" w:cs="Arial"/>
                <w:color w:val="auto"/>
                <w:sz w:val="20"/>
                <w:szCs w:val="20"/>
              </w:rPr>
            </w:pPr>
          </w:p>
        </w:tc>
      </w:tr>
      <w:tr w:rsidR="00200A07" w:rsidRPr="004C1685" w14:paraId="16799E79" w14:textId="77777777" w:rsidTr="49279BE2">
        <w:trPr>
          <w:trHeight w:val="48"/>
        </w:trPr>
        <w:tc>
          <w:tcPr>
            <w:tcW w:w="1650" w:type="dxa"/>
            <w:tcBorders>
              <w:top w:val="single" w:sz="5" w:space="0" w:color="000000" w:themeColor="text1"/>
              <w:left w:val="single" w:sz="5" w:space="0" w:color="000000" w:themeColor="text1"/>
              <w:bottom w:val="double" w:sz="2" w:space="0" w:color="FFFFCC"/>
              <w:right w:val="single" w:sz="5" w:space="0" w:color="000000" w:themeColor="text1"/>
            </w:tcBorders>
          </w:tcPr>
          <w:p w14:paraId="68BC056F"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Title </w:t>
            </w:r>
          </w:p>
        </w:tc>
        <w:tc>
          <w:tcPr>
            <w:tcW w:w="675" w:type="dxa"/>
            <w:tcBorders>
              <w:top w:val="single" w:sz="5" w:space="0" w:color="000000" w:themeColor="text1"/>
              <w:left w:val="single" w:sz="5" w:space="0" w:color="000000" w:themeColor="text1"/>
              <w:bottom w:val="double" w:sz="2" w:space="0" w:color="FFFFCC"/>
              <w:right w:val="single" w:sz="5" w:space="0" w:color="000000" w:themeColor="text1"/>
            </w:tcBorders>
          </w:tcPr>
          <w:p w14:paraId="10295961"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1</w:t>
            </w:r>
          </w:p>
        </w:tc>
        <w:tc>
          <w:tcPr>
            <w:tcW w:w="780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D56A0DA"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Identify the report as a systematic review.</w:t>
            </w:r>
          </w:p>
        </w:tc>
        <w:tc>
          <w:tcPr>
            <w:tcW w:w="13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F659108"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Title</w:t>
            </w:r>
          </w:p>
        </w:tc>
      </w:tr>
      <w:tr w:rsidR="00200A07" w:rsidRPr="004C1685" w14:paraId="3B960A86"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52C15522" w14:textId="77777777" w:rsidR="00200A07" w:rsidRPr="00061884" w:rsidRDefault="00200A07" w:rsidP="00C1776D">
            <w:pPr>
              <w:pStyle w:val="Default"/>
              <w:rPr>
                <w:rFonts w:ascii="Arial Narrow" w:hAnsi="Arial Narrow" w:cs="Arial"/>
                <w:sz w:val="20"/>
                <w:szCs w:val="20"/>
              </w:rPr>
            </w:pPr>
            <w:r w:rsidRPr="00061884">
              <w:rPr>
                <w:rFonts w:ascii="Arial Narrow" w:hAnsi="Arial Narrow" w:cs="Arial"/>
                <w:b/>
                <w:bCs/>
                <w:sz w:val="20"/>
                <w:szCs w:val="20"/>
              </w:rPr>
              <w:t xml:space="preserve">ABSTRACT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DEBD6A3" w14:textId="77777777" w:rsidR="00200A07" w:rsidRPr="00061884" w:rsidRDefault="00200A07" w:rsidP="00C1776D">
            <w:pPr>
              <w:pStyle w:val="Default"/>
              <w:jc w:val="right"/>
              <w:rPr>
                <w:rFonts w:ascii="Arial Narrow" w:hAnsi="Arial Narrow" w:cs="Arial"/>
                <w:color w:val="auto"/>
                <w:sz w:val="20"/>
                <w:szCs w:val="20"/>
              </w:rPr>
            </w:pPr>
          </w:p>
        </w:tc>
      </w:tr>
      <w:tr w:rsidR="00200A07" w:rsidRPr="004C1685" w14:paraId="55A1FF22" w14:textId="77777777" w:rsidTr="49279BE2">
        <w:trPr>
          <w:trHeight w:val="48"/>
        </w:trPr>
        <w:tc>
          <w:tcPr>
            <w:tcW w:w="1650" w:type="dxa"/>
            <w:tcBorders>
              <w:top w:val="single" w:sz="5" w:space="0" w:color="000000" w:themeColor="text1"/>
              <w:left w:val="single" w:sz="5" w:space="0" w:color="000000" w:themeColor="text1"/>
              <w:bottom w:val="double" w:sz="2" w:space="0" w:color="FFFFCC"/>
              <w:right w:val="single" w:sz="5" w:space="0" w:color="000000" w:themeColor="text1"/>
            </w:tcBorders>
          </w:tcPr>
          <w:p w14:paraId="061E9252"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Abstract </w:t>
            </w:r>
          </w:p>
        </w:tc>
        <w:tc>
          <w:tcPr>
            <w:tcW w:w="675" w:type="dxa"/>
            <w:tcBorders>
              <w:top w:val="single" w:sz="5" w:space="0" w:color="000000" w:themeColor="text1"/>
              <w:left w:val="single" w:sz="5" w:space="0" w:color="000000" w:themeColor="text1"/>
              <w:bottom w:val="double" w:sz="2" w:space="0" w:color="FFFFCC"/>
              <w:right w:val="single" w:sz="5" w:space="0" w:color="000000" w:themeColor="text1"/>
            </w:tcBorders>
          </w:tcPr>
          <w:p w14:paraId="5DE00CE2"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2</w:t>
            </w:r>
          </w:p>
        </w:tc>
        <w:tc>
          <w:tcPr>
            <w:tcW w:w="780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75B23AC"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See the PRISMA 2020 for Abstracts checklist.</w:t>
            </w:r>
          </w:p>
        </w:tc>
        <w:tc>
          <w:tcPr>
            <w:tcW w:w="13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E747B10"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Abstract</w:t>
            </w:r>
          </w:p>
        </w:tc>
      </w:tr>
      <w:tr w:rsidR="00200A07" w:rsidRPr="004C1685" w14:paraId="5049B35C"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2C5B1F7" w14:textId="77777777" w:rsidR="00200A07" w:rsidRPr="00061884" w:rsidRDefault="00200A07" w:rsidP="00C1776D">
            <w:pPr>
              <w:pStyle w:val="Default"/>
              <w:rPr>
                <w:rFonts w:ascii="Arial Narrow" w:hAnsi="Arial Narrow" w:cs="Arial"/>
                <w:sz w:val="20"/>
                <w:szCs w:val="20"/>
              </w:rPr>
            </w:pPr>
            <w:r w:rsidRPr="00061884">
              <w:rPr>
                <w:rFonts w:ascii="Arial Narrow" w:hAnsi="Arial Narrow" w:cs="Arial"/>
                <w:b/>
                <w:bCs/>
                <w:sz w:val="20"/>
                <w:szCs w:val="20"/>
              </w:rPr>
              <w:t xml:space="preserve">INTRODUCTION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54918D0" w14:textId="77777777" w:rsidR="00200A07" w:rsidRPr="00061884" w:rsidRDefault="00200A07" w:rsidP="00C1776D">
            <w:pPr>
              <w:pStyle w:val="Default"/>
              <w:jc w:val="right"/>
              <w:rPr>
                <w:rFonts w:ascii="Arial Narrow" w:hAnsi="Arial Narrow" w:cs="Arial"/>
                <w:color w:val="auto"/>
                <w:sz w:val="20"/>
                <w:szCs w:val="20"/>
              </w:rPr>
            </w:pPr>
          </w:p>
        </w:tc>
      </w:tr>
      <w:tr w:rsidR="00200A07" w:rsidRPr="004C1685" w14:paraId="5632EBE5"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72BB6C"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Rationale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8CE065"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3</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896B71"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Describe the rationale for the review in the context of existing knowledge.</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BA557"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Introduction</w:t>
            </w:r>
          </w:p>
        </w:tc>
      </w:tr>
      <w:tr w:rsidR="00200A07" w:rsidRPr="004C1685" w14:paraId="377EFC0B" w14:textId="77777777" w:rsidTr="49279BE2">
        <w:trPr>
          <w:trHeight w:val="48"/>
        </w:trPr>
        <w:tc>
          <w:tcPr>
            <w:tcW w:w="1650" w:type="dxa"/>
            <w:tcBorders>
              <w:top w:val="single" w:sz="5" w:space="0" w:color="000000" w:themeColor="text1"/>
              <w:left w:val="single" w:sz="5" w:space="0" w:color="000000" w:themeColor="text1"/>
              <w:bottom w:val="double" w:sz="2" w:space="0" w:color="FFFFCC"/>
              <w:right w:val="single" w:sz="5" w:space="0" w:color="000000" w:themeColor="text1"/>
            </w:tcBorders>
          </w:tcPr>
          <w:p w14:paraId="7A90A29B"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Objectives </w:t>
            </w:r>
          </w:p>
        </w:tc>
        <w:tc>
          <w:tcPr>
            <w:tcW w:w="675" w:type="dxa"/>
            <w:tcBorders>
              <w:top w:val="single" w:sz="5" w:space="0" w:color="000000" w:themeColor="text1"/>
              <w:left w:val="single" w:sz="5" w:space="0" w:color="000000" w:themeColor="text1"/>
              <w:bottom w:val="double" w:sz="2" w:space="0" w:color="FFFFCC"/>
              <w:right w:val="single" w:sz="5" w:space="0" w:color="000000" w:themeColor="text1"/>
            </w:tcBorders>
          </w:tcPr>
          <w:p w14:paraId="19BAFC29"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4</w:t>
            </w:r>
          </w:p>
        </w:tc>
        <w:tc>
          <w:tcPr>
            <w:tcW w:w="780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5688172"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Provide an explicit statement of the objective(s) or question(s) the review addresses.</w:t>
            </w:r>
          </w:p>
        </w:tc>
        <w:tc>
          <w:tcPr>
            <w:tcW w:w="13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53AB002"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Introduction</w:t>
            </w:r>
          </w:p>
        </w:tc>
      </w:tr>
      <w:tr w:rsidR="00200A07" w:rsidRPr="004C1685" w14:paraId="0B460CA8"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D97F822" w14:textId="77777777" w:rsidR="00200A07" w:rsidRPr="00061884" w:rsidRDefault="00200A07" w:rsidP="00C1776D">
            <w:pPr>
              <w:pStyle w:val="Default"/>
              <w:rPr>
                <w:rFonts w:ascii="Arial Narrow" w:hAnsi="Arial Narrow" w:cs="Arial"/>
                <w:sz w:val="20"/>
                <w:szCs w:val="20"/>
              </w:rPr>
            </w:pPr>
            <w:r w:rsidRPr="00061884">
              <w:rPr>
                <w:rFonts w:ascii="Arial Narrow" w:hAnsi="Arial Narrow" w:cs="Arial"/>
                <w:b/>
                <w:bCs/>
                <w:sz w:val="20"/>
                <w:szCs w:val="20"/>
              </w:rPr>
              <w:t xml:space="preserve">METHODS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6A16E46D" w14:textId="77777777" w:rsidR="00200A07" w:rsidRPr="00061884" w:rsidRDefault="00200A07" w:rsidP="00C1776D">
            <w:pPr>
              <w:pStyle w:val="Default"/>
              <w:jc w:val="right"/>
              <w:rPr>
                <w:rFonts w:ascii="Arial Narrow" w:hAnsi="Arial Narrow" w:cs="Arial"/>
                <w:color w:val="auto"/>
                <w:sz w:val="20"/>
                <w:szCs w:val="20"/>
              </w:rPr>
            </w:pPr>
          </w:p>
        </w:tc>
      </w:tr>
      <w:tr w:rsidR="00200A07" w:rsidRPr="004C1685" w14:paraId="46F58956"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604174"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Eligibility criteria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BD05E"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5</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3555BA"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Specify the inclusion and exclusion criteria for the review and how studies were grouped for the syntheses.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26A785"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 Table 1</w:t>
            </w:r>
          </w:p>
        </w:tc>
      </w:tr>
      <w:tr w:rsidR="00200A07" w:rsidRPr="004C1685" w14:paraId="72964D57" w14:textId="77777777" w:rsidTr="49279BE2">
        <w:trPr>
          <w:trHeight w:val="191"/>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A270EC"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Information sources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D2EEEA"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6</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47767"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Specify all databases, registers, websites, organisations, reference lists and other sources searched or consulted to identify studies. Specify the date when each source was last searched or consulted.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56F94"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200A07" w:rsidRPr="004C1685" w14:paraId="4209B844"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21F4E0"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Search strategy</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BBE900"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7</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E6849C"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Present the full search strategies for all databases, </w:t>
            </w:r>
            <w:proofErr w:type="gramStart"/>
            <w:r w:rsidRPr="00061884">
              <w:rPr>
                <w:rFonts w:ascii="Arial Narrow" w:hAnsi="Arial Narrow" w:cs="Arial"/>
                <w:sz w:val="20"/>
                <w:szCs w:val="20"/>
              </w:rPr>
              <w:t>registers</w:t>
            </w:r>
            <w:proofErr w:type="gramEnd"/>
            <w:r w:rsidRPr="00061884">
              <w:rPr>
                <w:rFonts w:ascii="Arial Narrow" w:hAnsi="Arial Narrow" w:cs="Arial"/>
                <w:sz w:val="20"/>
                <w:szCs w:val="20"/>
              </w:rPr>
              <w:t xml:space="preserve"> and websites, including any filters and limits used.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7A25D2"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200A07" w:rsidRPr="004C1685" w14:paraId="2B33F120"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ECD6A"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Selection process</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4B24A4"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8</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C965D8"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54E723"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200A07" w:rsidRPr="004C1685" w14:paraId="78D1B4C6" w14:textId="77777777" w:rsidTr="0074603D">
        <w:trPr>
          <w:trHeight w:val="152"/>
        </w:trPr>
        <w:tc>
          <w:tcPr>
            <w:tcW w:w="1650"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02B61013"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Data collection process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936C44"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9</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AD2B7F"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6A79DB"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200A07" w:rsidRPr="004C1685" w14:paraId="0B209990" w14:textId="77777777" w:rsidTr="0074603D">
        <w:trPr>
          <w:trHeight w:val="48"/>
        </w:trPr>
        <w:tc>
          <w:tcPr>
            <w:tcW w:w="1650"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201117A1"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 xml:space="preserve">Data items </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4AC42D2A"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10a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058E81"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8DA6E" w14:textId="77777777" w:rsidR="00200A07" w:rsidRPr="00061884" w:rsidRDefault="00200A07" w:rsidP="00C1776D">
            <w:pPr>
              <w:pStyle w:val="Default"/>
              <w:spacing w:before="40" w:after="40"/>
              <w:rPr>
                <w:rFonts w:ascii="Arial Narrow" w:hAnsi="Arial Narrow" w:cs="Arial"/>
                <w:color w:val="auto"/>
                <w:sz w:val="20"/>
                <w:szCs w:val="20"/>
                <w:highlight w:val="yellow"/>
              </w:rPr>
            </w:pPr>
            <w:r w:rsidRPr="00061884">
              <w:rPr>
                <w:rFonts w:ascii="Arial Narrow" w:hAnsi="Arial Narrow" w:cs="Arial"/>
                <w:color w:val="auto"/>
                <w:sz w:val="20"/>
                <w:szCs w:val="20"/>
              </w:rPr>
              <w:t>Methods</w:t>
            </w:r>
          </w:p>
        </w:tc>
      </w:tr>
      <w:tr w:rsidR="00200A07" w:rsidRPr="004C1685" w14:paraId="4BC309E6"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7CAFD67E" w14:textId="77777777" w:rsidR="00200A07" w:rsidRPr="00061884" w:rsidRDefault="00200A07" w:rsidP="00C1776D">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0C48DEC"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10b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854AD0"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List and define all other variables for which data were sought (e.g. participant and intervention characteristics, funding sources). Describe any assumptions made about any missing or unclear information.</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3CA42" w14:textId="77777777" w:rsidR="00200A07" w:rsidRPr="00061884" w:rsidRDefault="00200A07" w:rsidP="00C1776D">
            <w:pPr>
              <w:pStyle w:val="Default"/>
              <w:spacing w:before="40" w:after="40"/>
              <w:rPr>
                <w:rFonts w:ascii="Arial Narrow" w:hAnsi="Arial Narrow" w:cs="Arial"/>
                <w:color w:val="auto"/>
                <w:sz w:val="20"/>
                <w:szCs w:val="20"/>
                <w:highlight w:val="yellow"/>
              </w:rPr>
            </w:pPr>
            <w:r w:rsidRPr="00061884">
              <w:rPr>
                <w:rFonts w:ascii="Arial Narrow" w:hAnsi="Arial Narrow" w:cs="Arial"/>
                <w:color w:val="auto"/>
                <w:sz w:val="20"/>
                <w:szCs w:val="20"/>
              </w:rPr>
              <w:t>Methods</w:t>
            </w:r>
          </w:p>
        </w:tc>
      </w:tr>
      <w:tr w:rsidR="00200A07" w:rsidRPr="004C1685" w14:paraId="02EE4B43" w14:textId="77777777" w:rsidTr="0074603D">
        <w:trPr>
          <w:trHeight w:val="48"/>
        </w:trPr>
        <w:tc>
          <w:tcPr>
            <w:tcW w:w="1650"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145F9C6E"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Study risk of bias assessment</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0D7EB" w14:textId="77777777" w:rsidR="00200A07" w:rsidRPr="00061884" w:rsidRDefault="00200A07" w:rsidP="00C1776D">
            <w:pPr>
              <w:pStyle w:val="Default"/>
              <w:spacing w:before="40" w:after="40"/>
              <w:jc w:val="right"/>
              <w:rPr>
                <w:rFonts w:ascii="Arial Narrow" w:hAnsi="Arial Narrow" w:cs="Arial"/>
                <w:sz w:val="20"/>
                <w:szCs w:val="20"/>
              </w:rPr>
            </w:pPr>
            <w:r w:rsidRPr="00061884">
              <w:rPr>
                <w:rFonts w:ascii="Arial Narrow" w:hAnsi="Arial Narrow" w:cs="Arial"/>
                <w:sz w:val="20"/>
                <w:szCs w:val="20"/>
              </w:rPr>
              <w:t>11</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680F70" w14:textId="77777777" w:rsidR="00200A07" w:rsidRPr="00061884" w:rsidRDefault="00200A07" w:rsidP="00C1776D">
            <w:pPr>
              <w:pStyle w:val="Default"/>
              <w:spacing w:before="40" w:after="40"/>
              <w:rPr>
                <w:rFonts w:ascii="Arial Narrow" w:hAnsi="Arial Narrow" w:cs="Arial"/>
                <w:sz w:val="20"/>
                <w:szCs w:val="20"/>
              </w:rPr>
            </w:pPr>
            <w:r w:rsidRPr="00061884">
              <w:rPr>
                <w:rFonts w:ascii="Arial Narrow" w:hAnsi="Arial Narrow" w:cs="Arial"/>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2516F4" w14:textId="77777777" w:rsidR="00200A07" w:rsidRPr="00061884" w:rsidRDefault="00200A07" w:rsidP="00C1776D">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4C45500F" w14:textId="77777777" w:rsidTr="0074603D">
        <w:trPr>
          <w:trHeight w:val="48"/>
        </w:trPr>
        <w:tc>
          <w:tcPr>
            <w:tcW w:w="1650"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0AC9FACC"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Effect measures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A71319"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12</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9445EC"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Specify for each outcome the effect measure(s) (e.g. risk ratio, mean difference) used in the synthesis or presentation of results.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4B1A86" w14:textId="75C8242E"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7D14AA71" w14:textId="77777777" w:rsidTr="0074603D">
        <w:trPr>
          <w:trHeight w:val="48"/>
        </w:trPr>
        <w:tc>
          <w:tcPr>
            <w:tcW w:w="1650"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1A1D3967"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Synthesis methods</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E2FD1BF"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8E8878"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the processes used to decide which studies were eligible for each synthesis (e.g. tabulating the study intervention characteristics and comparing against the planned groups for each synthesis (item #5)).</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1635A3"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1772783A"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1CDBB766"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41791C2"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3F80D1"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required to prepare the data for presentation or synthesis, such as handling of missing summary statistics, or data conversions.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3D9464"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52F1DE32"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1D7B0FE1"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51CF72B"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13c</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42EA97"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used to tabulate or visually display results of individual studies and syntheses.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2E5EA7"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2BA6D7B1"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23E6007A"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49AD19C4"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13d</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25F0E"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C55051"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075C4EDB"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3AAD77D8"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2BDB6B71"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13e</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B59CF4"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used to explore possible causes of heterogeneity among study results (e.g. subgroup analysis, meta-regression).</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52FA62"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43FC1A3A" w14:textId="77777777" w:rsidTr="0074603D">
        <w:trPr>
          <w:trHeight w:val="50"/>
        </w:trPr>
        <w:tc>
          <w:tcPr>
            <w:tcW w:w="1650" w:type="dxa"/>
            <w:vMerge/>
            <w:tcBorders>
              <w:top w:val="nil"/>
              <w:left w:val="single" w:sz="4" w:space="0" w:color="auto"/>
              <w:bottom w:val="single" w:sz="6" w:space="0" w:color="000000" w:themeColor="text1"/>
              <w:right w:val="single" w:sz="6" w:space="0" w:color="000000" w:themeColor="text1"/>
            </w:tcBorders>
          </w:tcPr>
          <w:p w14:paraId="7B49E572"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CF447F7"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13f</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79AAD2"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sensitivity analyses conducted to assess robustness of the synthesized results.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9AF6D5"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2FC65314" w14:textId="77777777" w:rsidTr="0074603D">
        <w:trPr>
          <w:trHeight w:val="48"/>
        </w:trPr>
        <w:tc>
          <w:tcPr>
            <w:tcW w:w="1650"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3986FC89"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Reporting bias assessment</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92E8F7"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14</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00135D"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used to assess risk of bias due to missing results in a synthesis (arising from reporting biases).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F3A323"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25AA2C12"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6DE62D"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Certainty assessment</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244A3B"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15</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4072E8"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any methods used to assess certainty (or confidence) in the body of evidence for an outcome.</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84EDF9"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Methods</w:t>
            </w:r>
          </w:p>
        </w:tc>
      </w:tr>
      <w:tr w:rsidR="000B6143" w:rsidRPr="004C1685" w14:paraId="204ECD3B"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0C697460" w14:textId="77777777" w:rsidR="000B6143" w:rsidRPr="00061884" w:rsidRDefault="000B6143" w:rsidP="000B6143">
            <w:pPr>
              <w:pStyle w:val="Default"/>
              <w:rPr>
                <w:rFonts w:ascii="Arial Narrow" w:hAnsi="Arial Narrow" w:cs="Arial"/>
                <w:sz w:val="20"/>
                <w:szCs w:val="20"/>
              </w:rPr>
            </w:pPr>
            <w:r w:rsidRPr="00061884">
              <w:rPr>
                <w:rFonts w:ascii="Arial Narrow" w:hAnsi="Arial Narrow" w:cs="Arial"/>
                <w:b/>
                <w:bCs/>
                <w:sz w:val="20"/>
                <w:szCs w:val="20"/>
              </w:rPr>
              <w:t xml:space="preserve">RESULTS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4A24571" w14:textId="77777777" w:rsidR="000B6143" w:rsidRPr="00061884" w:rsidRDefault="000B6143" w:rsidP="000B6143">
            <w:pPr>
              <w:pStyle w:val="Default"/>
              <w:jc w:val="center"/>
              <w:rPr>
                <w:rFonts w:ascii="Arial Narrow" w:hAnsi="Arial Narrow" w:cs="Arial"/>
                <w:color w:val="auto"/>
                <w:sz w:val="20"/>
                <w:szCs w:val="20"/>
              </w:rPr>
            </w:pPr>
          </w:p>
        </w:tc>
      </w:tr>
      <w:tr w:rsidR="000B6143" w:rsidRPr="004C1685" w14:paraId="5FD4F1E5" w14:textId="77777777" w:rsidTr="0074603D">
        <w:trPr>
          <w:trHeight w:val="48"/>
        </w:trPr>
        <w:tc>
          <w:tcPr>
            <w:tcW w:w="1650"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0A24075C"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Study selection </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233B0D5F"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16a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CAACA"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the results of the search and selection process, from the number of records identified in the search to the number of studies included in the review, ideally using a flow diagram.</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B0C07A"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Results</w:t>
            </w:r>
          </w:p>
        </w:tc>
      </w:tr>
      <w:tr w:rsidR="000B6143" w:rsidRPr="004C1685" w14:paraId="70485350"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0750B569"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E4C411B"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16b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6A78FC"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Cite studies that might appear to meet the inclusion criteria, but which were excluded, and explain why they were excluded.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B01CA9"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00644C26" w14:textId="77777777" w:rsidTr="0074603D">
        <w:trPr>
          <w:trHeight w:val="103"/>
        </w:trPr>
        <w:tc>
          <w:tcPr>
            <w:tcW w:w="1650"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21B10EB0"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Study characteristics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8D3BB3"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17</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37F99F"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Cite each included study and present its characteristics.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70406C"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Results - supplemental document</w:t>
            </w:r>
          </w:p>
        </w:tc>
      </w:tr>
      <w:tr w:rsidR="000B6143" w:rsidRPr="004C1685" w14:paraId="2AF7B1C4"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CA0A46"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Risk of bias in studies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F8E950"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18</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1B67AB"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assessments of risk of bias for each included study.</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650182"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 xml:space="preserve">Methods </w:t>
            </w:r>
            <w:proofErr w:type="gramStart"/>
            <w:r w:rsidRPr="00061884">
              <w:rPr>
                <w:rFonts w:ascii="Arial Narrow" w:hAnsi="Arial Narrow" w:cs="Arial"/>
                <w:color w:val="auto"/>
                <w:sz w:val="20"/>
                <w:szCs w:val="20"/>
              </w:rPr>
              <w:t>–  Table</w:t>
            </w:r>
            <w:proofErr w:type="gramEnd"/>
            <w:r w:rsidRPr="00061884">
              <w:rPr>
                <w:rFonts w:ascii="Arial Narrow" w:hAnsi="Arial Narrow" w:cs="Arial"/>
                <w:color w:val="auto"/>
                <w:sz w:val="20"/>
                <w:szCs w:val="20"/>
              </w:rPr>
              <w:t xml:space="preserve"> 3</w:t>
            </w:r>
          </w:p>
        </w:tc>
      </w:tr>
      <w:tr w:rsidR="000B6143" w:rsidRPr="004C1685" w14:paraId="30ABA902" w14:textId="77777777" w:rsidTr="0074603D">
        <w:trPr>
          <w:trHeight w:val="48"/>
        </w:trPr>
        <w:tc>
          <w:tcPr>
            <w:tcW w:w="1650"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7B6B885D"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Results of individual studies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5B41A8"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19</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F2BD32"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For all outcomes, present, for each study: (a) summary statistics for each group (where appropriate) and (b) an effect </w:t>
            </w:r>
            <w:proofErr w:type="gramStart"/>
            <w:r w:rsidRPr="00061884">
              <w:rPr>
                <w:rFonts w:ascii="Arial Narrow" w:hAnsi="Arial Narrow" w:cs="Arial"/>
                <w:sz w:val="20"/>
                <w:szCs w:val="20"/>
              </w:rPr>
              <w:t>estimate</w:t>
            </w:r>
            <w:proofErr w:type="gramEnd"/>
            <w:r w:rsidRPr="00061884">
              <w:rPr>
                <w:rFonts w:ascii="Arial Narrow" w:hAnsi="Arial Narrow" w:cs="Arial"/>
                <w:sz w:val="20"/>
                <w:szCs w:val="20"/>
              </w:rPr>
              <w:t xml:space="preserve"> and its precision (e.g. confidence/credible interval), ideally using structured tables or plots.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55107F9"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Supplemental document</w:t>
            </w:r>
          </w:p>
        </w:tc>
      </w:tr>
      <w:tr w:rsidR="000B6143" w:rsidRPr="004C1685" w14:paraId="299BBFB6" w14:textId="77777777" w:rsidTr="0074603D">
        <w:trPr>
          <w:trHeight w:val="48"/>
        </w:trPr>
        <w:tc>
          <w:tcPr>
            <w:tcW w:w="1650"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447F8B7E"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Results of syntheses</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C172B79"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20a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EBC4D5"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For each synthesis, briefly summarise the characteristics and risk of bias among contributing studies.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2EAED3B"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Results</w:t>
            </w:r>
          </w:p>
        </w:tc>
      </w:tr>
      <w:tr w:rsidR="000B6143" w:rsidRPr="004C1685" w14:paraId="2C62C601" w14:textId="77777777" w:rsidTr="0074603D">
        <w:trPr>
          <w:trHeight w:val="203"/>
        </w:trPr>
        <w:tc>
          <w:tcPr>
            <w:tcW w:w="1650" w:type="dxa"/>
            <w:vMerge/>
            <w:tcBorders>
              <w:top w:val="nil"/>
              <w:left w:val="single" w:sz="4" w:space="0" w:color="auto"/>
              <w:bottom w:val="single" w:sz="6" w:space="0" w:color="000000" w:themeColor="text1"/>
              <w:right w:val="single" w:sz="6" w:space="0" w:color="000000" w:themeColor="text1"/>
            </w:tcBorders>
          </w:tcPr>
          <w:p w14:paraId="57166356"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0EDB941"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20b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E8B261"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C0FFCD2"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5AD1ADC1"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6452D34D"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88120FD"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20c</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DB78F4"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results of all investigations of possible causes of heterogeneity among study results.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ABC09D3"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Results / discussion</w:t>
            </w:r>
          </w:p>
        </w:tc>
      </w:tr>
      <w:tr w:rsidR="000B6143" w:rsidRPr="004C1685" w14:paraId="5E72084D"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3903B79B"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EA77DC3"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20d</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90947B"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results of all sensitivity analyses conducted to assess the robustness of the synthesized results.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79D0913"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20399A3B" w14:textId="77777777" w:rsidTr="0074603D">
        <w:trPr>
          <w:trHeight w:val="48"/>
        </w:trPr>
        <w:tc>
          <w:tcPr>
            <w:tcW w:w="1650"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57B5491D"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Reporting biases</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C2C0E3"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21</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EBF20"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assessments of risk of bias due to missing results (arising from reporting biases) for each synthesis assessed.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5A6EF5C"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104FEF7F"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DE7C02"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Certainty of evidence </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4849DE"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22</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46AE21"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Present assessments of certainty (or confidence) in the body of evidence for each outcome assessed.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092F1B8"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61803871"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65A391D5" w14:textId="77777777" w:rsidR="000B6143" w:rsidRPr="00061884" w:rsidRDefault="000B6143" w:rsidP="000B6143">
            <w:pPr>
              <w:pStyle w:val="Default"/>
              <w:rPr>
                <w:rFonts w:ascii="Arial Narrow" w:hAnsi="Arial Narrow" w:cs="Arial"/>
                <w:sz w:val="20"/>
                <w:szCs w:val="20"/>
              </w:rPr>
            </w:pPr>
            <w:r w:rsidRPr="00061884">
              <w:rPr>
                <w:rFonts w:ascii="Arial Narrow" w:hAnsi="Arial Narrow" w:cs="Arial"/>
                <w:b/>
                <w:bCs/>
                <w:sz w:val="20"/>
                <w:szCs w:val="20"/>
              </w:rPr>
              <w:t xml:space="preserve">DISCUSSION </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F1E8925" w14:textId="77777777" w:rsidR="000B6143" w:rsidRPr="00061884" w:rsidRDefault="000B6143" w:rsidP="000B6143">
            <w:pPr>
              <w:pStyle w:val="Default"/>
              <w:jc w:val="center"/>
              <w:rPr>
                <w:rFonts w:ascii="Arial Narrow" w:hAnsi="Arial Narrow" w:cs="Arial"/>
                <w:color w:val="auto"/>
                <w:sz w:val="20"/>
                <w:szCs w:val="20"/>
              </w:rPr>
            </w:pPr>
          </w:p>
        </w:tc>
      </w:tr>
      <w:tr w:rsidR="000B6143" w:rsidRPr="004C1685" w14:paraId="387F5EFB" w14:textId="77777777" w:rsidTr="0074603D">
        <w:trPr>
          <w:trHeight w:val="48"/>
        </w:trPr>
        <w:tc>
          <w:tcPr>
            <w:tcW w:w="1650" w:type="dxa"/>
            <w:vMerge w:val="restart"/>
            <w:tcBorders>
              <w:top w:val="single" w:sz="6" w:space="0" w:color="000000" w:themeColor="text1"/>
              <w:left w:val="single" w:sz="4" w:space="0" w:color="auto"/>
              <w:bottom w:val="nil"/>
              <w:right w:val="single" w:sz="6" w:space="0" w:color="000000" w:themeColor="text1"/>
            </w:tcBorders>
          </w:tcPr>
          <w:p w14:paraId="0F022564"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Discussion </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06114BD"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23a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658555"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Provide a general interpretation of the results in the context of other evidence.</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B8CC38"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Discussion</w:t>
            </w:r>
          </w:p>
        </w:tc>
      </w:tr>
      <w:tr w:rsidR="000B6143" w:rsidRPr="004C1685" w14:paraId="05FFB088" w14:textId="77777777" w:rsidTr="0074603D">
        <w:trPr>
          <w:trHeight w:val="48"/>
        </w:trPr>
        <w:tc>
          <w:tcPr>
            <w:tcW w:w="1650" w:type="dxa"/>
            <w:vMerge/>
            <w:tcBorders>
              <w:top w:val="nil"/>
              <w:left w:val="single" w:sz="4" w:space="0" w:color="auto"/>
              <w:bottom w:val="nil"/>
              <w:right w:val="single" w:sz="6" w:space="0" w:color="000000" w:themeColor="text1"/>
            </w:tcBorders>
          </w:tcPr>
          <w:p w14:paraId="096B8679"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D1287C6"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23b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EFC37F"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Discuss any limitations of the evidence included in the review.</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2BAFAF"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Discussion</w:t>
            </w:r>
          </w:p>
        </w:tc>
      </w:tr>
      <w:tr w:rsidR="000B6143" w:rsidRPr="004C1685" w14:paraId="6A79D43E" w14:textId="77777777" w:rsidTr="0074603D">
        <w:trPr>
          <w:trHeight w:val="48"/>
        </w:trPr>
        <w:tc>
          <w:tcPr>
            <w:tcW w:w="1650" w:type="dxa"/>
            <w:vMerge/>
            <w:tcBorders>
              <w:top w:val="nil"/>
              <w:left w:val="single" w:sz="4" w:space="0" w:color="auto"/>
              <w:bottom w:val="nil"/>
              <w:right w:val="single" w:sz="6" w:space="0" w:color="000000" w:themeColor="text1"/>
            </w:tcBorders>
          </w:tcPr>
          <w:p w14:paraId="3D2410DF"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4" w:space="0" w:color="auto"/>
              <w:right w:val="single" w:sz="5" w:space="0" w:color="000000" w:themeColor="text1"/>
            </w:tcBorders>
          </w:tcPr>
          <w:p w14:paraId="2BA80F15"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23c</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576AD3"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Discuss any limitations of the review processes used.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AA0475"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Discussion</w:t>
            </w:r>
          </w:p>
        </w:tc>
      </w:tr>
      <w:tr w:rsidR="000B6143" w:rsidRPr="004C1685" w14:paraId="0630B319" w14:textId="77777777" w:rsidTr="0074603D">
        <w:trPr>
          <w:trHeight w:val="48"/>
        </w:trPr>
        <w:tc>
          <w:tcPr>
            <w:tcW w:w="1650" w:type="dxa"/>
            <w:vMerge/>
            <w:tcBorders>
              <w:top w:val="nil"/>
              <w:left w:val="single" w:sz="4" w:space="0" w:color="auto"/>
              <w:bottom w:val="nil"/>
              <w:right w:val="single" w:sz="6" w:space="0" w:color="000000" w:themeColor="text1"/>
            </w:tcBorders>
          </w:tcPr>
          <w:p w14:paraId="5ED04343"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4" w:space="0" w:color="auto"/>
              <w:left w:val="single" w:sz="6" w:space="0" w:color="000000" w:themeColor="text1"/>
              <w:bottom w:val="single" w:sz="4" w:space="0" w:color="auto"/>
              <w:right w:val="single" w:sz="4" w:space="0" w:color="auto"/>
            </w:tcBorders>
          </w:tcPr>
          <w:p w14:paraId="76B13B07"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23d</w:t>
            </w:r>
          </w:p>
        </w:tc>
        <w:tc>
          <w:tcPr>
            <w:tcW w:w="7806" w:type="dxa"/>
            <w:tcBorders>
              <w:top w:val="single" w:sz="5" w:space="0" w:color="000000" w:themeColor="text1"/>
              <w:left w:val="single" w:sz="4" w:space="0" w:color="auto"/>
              <w:bottom w:val="double" w:sz="5" w:space="0" w:color="000000" w:themeColor="text1"/>
              <w:right w:val="single" w:sz="5" w:space="0" w:color="000000" w:themeColor="text1"/>
            </w:tcBorders>
          </w:tcPr>
          <w:p w14:paraId="083265A5"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Discuss implications of the results for practice, policy, and future research.</w:t>
            </w:r>
          </w:p>
        </w:tc>
        <w:tc>
          <w:tcPr>
            <w:tcW w:w="13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0722637"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Discussion</w:t>
            </w:r>
          </w:p>
        </w:tc>
      </w:tr>
      <w:tr w:rsidR="000B6143" w:rsidRPr="004C1685" w14:paraId="33F3AF6E" w14:textId="77777777" w:rsidTr="49279BE2">
        <w:trPr>
          <w:trHeight w:val="24"/>
        </w:trPr>
        <w:tc>
          <w:tcPr>
            <w:tcW w:w="1013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5537284" w14:textId="77777777" w:rsidR="000B6143" w:rsidRPr="00061884" w:rsidRDefault="000B6143" w:rsidP="000B6143">
            <w:pPr>
              <w:pStyle w:val="Default"/>
              <w:rPr>
                <w:rFonts w:ascii="Arial Narrow" w:hAnsi="Arial Narrow" w:cs="Arial"/>
                <w:sz w:val="20"/>
                <w:szCs w:val="20"/>
              </w:rPr>
            </w:pPr>
            <w:r w:rsidRPr="00061884">
              <w:rPr>
                <w:rFonts w:ascii="Arial Narrow" w:hAnsi="Arial Narrow" w:cs="Arial"/>
                <w:b/>
                <w:bCs/>
                <w:sz w:val="20"/>
                <w:szCs w:val="20"/>
              </w:rPr>
              <w:t>OTHER INFORMATION</w:t>
            </w:r>
          </w:p>
        </w:tc>
        <w:tc>
          <w:tcPr>
            <w:tcW w:w="1317"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D5D00C7" w14:textId="77777777" w:rsidR="000B6143" w:rsidRPr="00061884" w:rsidRDefault="000B6143" w:rsidP="000B6143">
            <w:pPr>
              <w:pStyle w:val="Default"/>
              <w:jc w:val="center"/>
              <w:rPr>
                <w:rFonts w:ascii="Arial Narrow" w:hAnsi="Arial Narrow" w:cs="Arial"/>
                <w:color w:val="auto"/>
                <w:sz w:val="20"/>
                <w:szCs w:val="20"/>
              </w:rPr>
            </w:pPr>
          </w:p>
        </w:tc>
      </w:tr>
      <w:tr w:rsidR="000B6143" w:rsidRPr="004C1685" w14:paraId="7B0AC85C" w14:textId="77777777" w:rsidTr="0074603D">
        <w:trPr>
          <w:trHeight w:val="48"/>
        </w:trPr>
        <w:tc>
          <w:tcPr>
            <w:tcW w:w="1650"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269DE056"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Registration and protocol</w:t>
            </w: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1B400C3"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24a</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8DF130"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Provide registration information for the review, including register name and registration number, or state that the review was not registered.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6A88B0"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478A75FE" w14:textId="77777777" w:rsidTr="0074603D">
        <w:trPr>
          <w:trHeight w:val="57"/>
        </w:trPr>
        <w:tc>
          <w:tcPr>
            <w:tcW w:w="1650" w:type="dxa"/>
            <w:vMerge/>
            <w:tcBorders>
              <w:top w:val="nil"/>
              <w:left w:val="single" w:sz="4" w:space="0" w:color="auto"/>
              <w:bottom w:val="single" w:sz="6" w:space="0" w:color="000000" w:themeColor="text1"/>
              <w:right w:val="single" w:sz="6" w:space="0" w:color="000000" w:themeColor="text1"/>
            </w:tcBorders>
          </w:tcPr>
          <w:p w14:paraId="67B57E82"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8C342A1"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24b</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DFE891"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Indicate where the review protocol can be accessed, or state that a protocol was not prepared.</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9C07D"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7718175E" w14:textId="77777777" w:rsidTr="0074603D">
        <w:trPr>
          <w:trHeight w:val="48"/>
        </w:trPr>
        <w:tc>
          <w:tcPr>
            <w:tcW w:w="1650" w:type="dxa"/>
            <w:vMerge/>
            <w:tcBorders>
              <w:top w:val="nil"/>
              <w:left w:val="single" w:sz="4" w:space="0" w:color="auto"/>
              <w:bottom w:val="single" w:sz="6" w:space="0" w:color="000000" w:themeColor="text1"/>
              <w:right w:val="single" w:sz="6" w:space="0" w:color="000000" w:themeColor="text1"/>
            </w:tcBorders>
          </w:tcPr>
          <w:p w14:paraId="25DD7169" w14:textId="77777777" w:rsidR="000B6143" w:rsidRPr="00061884" w:rsidRDefault="000B6143" w:rsidP="000B6143">
            <w:pPr>
              <w:pStyle w:val="Default"/>
              <w:spacing w:before="40" w:after="40"/>
              <w:rPr>
                <w:rFonts w:ascii="Arial Narrow" w:hAnsi="Arial Narrow" w:cs="Arial"/>
                <w:sz w:val="20"/>
                <w:szCs w:val="20"/>
              </w:rPr>
            </w:pPr>
          </w:p>
        </w:tc>
        <w:tc>
          <w:tcPr>
            <w:tcW w:w="675"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B547E58"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24c</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7FCE76"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and explain any amendments to information provided at registration or in the protocol.</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04C33"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r w:rsidR="000B6143" w:rsidRPr="004C1685" w14:paraId="40D1FC11" w14:textId="77777777" w:rsidTr="0074603D">
        <w:trPr>
          <w:trHeight w:val="48"/>
        </w:trPr>
        <w:tc>
          <w:tcPr>
            <w:tcW w:w="1650"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72455EFE"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Support</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5A1B33"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25</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D26725"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Describe sources of financial or non-financial support for the review, and the role of the funders or sponsors in the review.</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BB455"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Funding</w:t>
            </w:r>
          </w:p>
        </w:tc>
      </w:tr>
      <w:tr w:rsidR="000B6143" w:rsidRPr="004C1685" w14:paraId="4C20E5AA" w14:textId="77777777" w:rsidTr="49279BE2">
        <w:trPr>
          <w:trHeight w:val="48"/>
        </w:trPr>
        <w:tc>
          <w:tcPr>
            <w:tcW w:w="16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BFF430"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Competing </w:t>
            </w:r>
            <w:r w:rsidRPr="00061884">
              <w:rPr>
                <w:rFonts w:ascii="Arial Narrow" w:hAnsi="Arial Narrow" w:cs="Arial"/>
                <w:sz w:val="20"/>
                <w:szCs w:val="20"/>
              </w:rPr>
              <w:lastRenderedPageBreak/>
              <w:t>interests</w:t>
            </w:r>
          </w:p>
        </w:tc>
        <w:tc>
          <w:tcPr>
            <w:tcW w:w="67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07B160"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lastRenderedPageBreak/>
              <w:t>26</w:t>
            </w:r>
          </w:p>
        </w:tc>
        <w:tc>
          <w:tcPr>
            <w:tcW w:w="7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2C84D8"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Declare any competing interests of review authors.</w:t>
            </w:r>
          </w:p>
        </w:tc>
        <w:tc>
          <w:tcPr>
            <w:tcW w:w="1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F12B8E"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 xml:space="preserve">Disclosure of </w:t>
            </w:r>
            <w:r w:rsidRPr="00061884">
              <w:rPr>
                <w:rFonts w:ascii="Arial Narrow" w:hAnsi="Arial Narrow" w:cs="Arial"/>
                <w:color w:val="auto"/>
                <w:sz w:val="20"/>
                <w:szCs w:val="20"/>
              </w:rPr>
              <w:lastRenderedPageBreak/>
              <w:t>interest</w:t>
            </w:r>
          </w:p>
        </w:tc>
      </w:tr>
      <w:tr w:rsidR="000B6143" w:rsidRPr="004C1685" w14:paraId="6A9C0A6A" w14:textId="77777777" w:rsidTr="49279BE2">
        <w:trPr>
          <w:trHeight w:val="219"/>
        </w:trPr>
        <w:tc>
          <w:tcPr>
            <w:tcW w:w="165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51786FF"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lastRenderedPageBreak/>
              <w:t xml:space="preserve">Availability of data, </w:t>
            </w:r>
            <w:proofErr w:type="gramStart"/>
            <w:r w:rsidRPr="00061884">
              <w:rPr>
                <w:rFonts w:ascii="Arial Narrow" w:hAnsi="Arial Narrow" w:cs="Arial"/>
                <w:sz w:val="20"/>
                <w:szCs w:val="20"/>
              </w:rPr>
              <w:t>code</w:t>
            </w:r>
            <w:proofErr w:type="gramEnd"/>
            <w:r w:rsidRPr="00061884">
              <w:rPr>
                <w:rFonts w:ascii="Arial Narrow" w:hAnsi="Arial Narrow" w:cs="Arial"/>
                <w:sz w:val="20"/>
                <w:szCs w:val="20"/>
              </w:rPr>
              <w:t xml:space="preserve"> and other materials</w:t>
            </w:r>
          </w:p>
        </w:tc>
        <w:tc>
          <w:tcPr>
            <w:tcW w:w="675"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2A2AF1E" w14:textId="77777777" w:rsidR="000B6143" w:rsidRPr="00061884" w:rsidRDefault="000B6143" w:rsidP="000B6143">
            <w:pPr>
              <w:pStyle w:val="Default"/>
              <w:spacing w:before="40" w:after="40"/>
              <w:jc w:val="right"/>
              <w:rPr>
                <w:rFonts w:ascii="Arial Narrow" w:hAnsi="Arial Narrow" w:cs="Arial"/>
                <w:sz w:val="20"/>
                <w:szCs w:val="20"/>
              </w:rPr>
            </w:pPr>
            <w:r w:rsidRPr="00061884">
              <w:rPr>
                <w:rFonts w:ascii="Arial Narrow" w:hAnsi="Arial Narrow" w:cs="Arial"/>
                <w:sz w:val="20"/>
                <w:szCs w:val="20"/>
              </w:rPr>
              <w:t>27</w:t>
            </w:r>
          </w:p>
        </w:tc>
        <w:tc>
          <w:tcPr>
            <w:tcW w:w="780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624DA82" w14:textId="77777777" w:rsidR="000B6143" w:rsidRPr="00061884" w:rsidRDefault="000B6143" w:rsidP="000B6143">
            <w:pPr>
              <w:pStyle w:val="Default"/>
              <w:spacing w:before="40" w:after="40"/>
              <w:rPr>
                <w:rFonts w:ascii="Arial Narrow" w:hAnsi="Arial Narrow" w:cs="Arial"/>
                <w:sz w:val="20"/>
                <w:szCs w:val="20"/>
              </w:rPr>
            </w:pPr>
            <w:r w:rsidRPr="00061884">
              <w:rPr>
                <w:rFonts w:ascii="Arial Narrow" w:hAnsi="Arial Narrow" w:cs="Arial"/>
                <w:sz w:val="20"/>
                <w:szCs w:val="20"/>
              </w:rPr>
              <w:t xml:space="preserve">Report which of the following are publicly available and where they can be </w:t>
            </w:r>
            <w:proofErr w:type="gramStart"/>
            <w:r w:rsidRPr="00061884">
              <w:rPr>
                <w:rFonts w:ascii="Arial Narrow" w:hAnsi="Arial Narrow" w:cs="Arial"/>
                <w:sz w:val="20"/>
                <w:szCs w:val="20"/>
              </w:rPr>
              <w:t>found:</w:t>
            </w:r>
            <w:proofErr w:type="gramEnd"/>
            <w:r w:rsidRPr="00061884">
              <w:rPr>
                <w:rFonts w:ascii="Arial Narrow" w:hAnsi="Arial Narrow" w:cs="Arial"/>
                <w:sz w:val="20"/>
                <w:szCs w:val="20"/>
              </w:rPr>
              <w:t xml:space="preserve"> template data collection forms; data extracted from included studies; data used for all analyses; analytic code; any other materials used in the review.</w:t>
            </w:r>
          </w:p>
        </w:tc>
        <w:tc>
          <w:tcPr>
            <w:tcW w:w="131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EDF6114" w14:textId="77777777" w:rsidR="000B6143" w:rsidRPr="00061884" w:rsidRDefault="000B6143" w:rsidP="000B6143">
            <w:pPr>
              <w:pStyle w:val="Default"/>
              <w:spacing w:before="40" w:after="40"/>
              <w:rPr>
                <w:rFonts w:ascii="Arial Narrow" w:hAnsi="Arial Narrow" w:cs="Arial"/>
                <w:color w:val="auto"/>
                <w:sz w:val="20"/>
                <w:szCs w:val="20"/>
              </w:rPr>
            </w:pPr>
            <w:r w:rsidRPr="00061884">
              <w:rPr>
                <w:rFonts w:ascii="Arial Narrow" w:hAnsi="Arial Narrow" w:cs="Arial"/>
                <w:color w:val="auto"/>
                <w:sz w:val="20"/>
                <w:szCs w:val="20"/>
              </w:rPr>
              <w:t>N/A</w:t>
            </w:r>
          </w:p>
        </w:tc>
      </w:tr>
    </w:tbl>
    <w:p w14:paraId="65378BF4" w14:textId="77777777" w:rsidR="00921A26" w:rsidRDefault="00921A26" w:rsidP="00081502">
      <w:pPr>
        <w:pStyle w:val="Default"/>
        <w:spacing w:line="183" w:lineRule="atLeast"/>
        <w:jc w:val="both"/>
        <w:rPr>
          <w:rFonts w:asciiTheme="majorBidi" w:hAnsiTheme="majorBidi" w:cstheme="majorBidi"/>
          <w:i/>
          <w:iCs/>
          <w:color w:val="auto"/>
          <w:sz w:val="26"/>
          <w:szCs w:val="26"/>
        </w:rPr>
      </w:pPr>
    </w:p>
    <w:p w14:paraId="6E6CC3C0" w14:textId="5C73E57B" w:rsidR="00081502" w:rsidRPr="00921A26" w:rsidRDefault="00081502" w:rsidP="00081502">
      <w:pPr>
        <w:pStyle w:val="Default"/>
        <w:spacing w:line="183" w:lineRule="atLeast"/>
        <w:jc w:val="both"/>
        <w:rPr>
          <w:rFonts w:asciiTheme="majorBidi" w:hAnsiTheme="majorBidi" w:cstheme="majorBidi"/>
          <w:color w:val="auto"/>
          <w:sz w:val="26"/>
          <w:szCs w:val="26"/>
          <w:lang w:val="da-DK"/>
        </w:rPr>
      </w:pPr>
      <w:r w:rsidRPr="00921A26">
        <w:rPr>
          <w:rFonts w:asciiTheme="majorBidi" w:hAnsiTheme="majorBidi" w:cstheme="majorBidi"/>
          <w:i/>
          <w:iCs/>
          <w:color w:val="auto"/>
          <w:sz w:val="26"/>
          <w:szCs w:val="26"/>
        </w:rPr>
        <w:t xml:space="preserve">From: </w:t>
      </w:r>
      <w:r w:rsidRPr="00921A26">
        <w:rPr>
          <w:rFonts w:asciiTheme="majorBidi" w:hAnsiTheme="majorBidi" w:cstheme="majorBidi"/>
          <w:color w:val="auto"/>
          <w:sz w:val="26"/>
          <w:szCs w:val="26"/>
        </w:rPr>
        <w:t xml:space="preserve"> Page MJ, McKenzie JE, </w:t>
      </w:r>
      <w:proofErr w:type="spellStart"/>
      <w:r w:rsidRPr="00921A26">
        <w:rPr>
          <w:rFonts w:asciiTheme="majorBidi" w:hAnsiTheme="majorBidi" w:cstheme="majorBidi"/>
          <w:color w:val="auto"/>
          <w:sz w:val="26"/>
          <w:szCs w:val="26"/>
        </w:rPr>
        <w:t>Bossuyt</w:t>
      </w:r>
      <w:proofErr w:type="spellEnd"/>
      <w:r w:rsidRPr="00921A26">
        <w:rPr>
          <w:rFonts w:asciiTheme="majorBidi" w:hAnsiTheme="majorBidi" w:cstheme="majorBidi"/>
          <w:color w:val="auto"/>
          <w:sz w:val="26"/>
          <w:szCs w:val="26"/>
        </w:rPr>
        <w:t xml:space="preserve"> PM, </w:t>
      </w:r>
      <w:proofErr w:type="spellStart"/>
      <w:r w:rsidRPr="00921A26">
        <w:rPr>
          <w:rFonts w:asciiTheme="majorBidi" w:hAnsiTheme="majorBidi" w:cstheme="majorBidi"/>
          <w:color w:val="auto"/>
          <w:sz w:val="26"/>
          <w:szCs w:val="26"/>
        </w:rPr>
        <w:t>Boutron</w:t>
      </w:r>
      <w:proofErr w:type="spellEnd"/>
      <w:r w:rsidRPr="00921A26">
        <w:rPr>
          <w:rFonts w:asciiTheme="majorBidi" w:hAnsiTheme="majorBidi" w:cstheme="majorBidi"/>
          <w:color w:val="auto"/>
          <w:sz w:val="26"/>
          <w:szCs w:val="26"/>
        </w:rPr>
        <w:t xml:space="preserve"> I, Hoffmann TC, Mulrow CD, et al. The PRISMA 2020 statement: an updated guideline for reporting systematic reviews. BMJ 2021;</w:t>
      </w:r>
      <w:proofErr w:type="gramStart"/>
      <w:r w:rsidRPr="00921A26">
        <w:rPr>
          <w:rFonts w:asciiTheme="majorBidi" w:hAnsiTheme="majorBidi" w:cstheme="majorBidi"/>
          <w:color w:val="auto"/>
          <w:sz w:val="26"/>
          <w:szCs w:val="26"/>
        </w:rPr>
        <w:t>372:n</w:t>
      </w:r>
      <w:proofErr w:type="gramEnd"/>
      <w:r w:rsidRPr="00921A26">
        <w:rPr>
          <w:rFonts w:asciiTheme="majorBidi" w:hAnsiTheme="majorBidi" w:cstheme="majorBidi"/>
          <w:color w:val="auto"/>
          <w:sz w:val="26"/>
          <w:szCs w:val="26"/>
        </w:rPr>
        <w:t xml:space="preserve">71. </w:t>
      </w:r>
      <w:proofErr w:type="spellStart"/>
      <w:r w:rsidRPr="00921A26">
        <w:rPr>
          <w:rFonts w:asciiTheme="majorBidi" w:hAnsiTheme="majorBidi" w:cstheme="majorBidi"/>
          <w:color w:val="auto"/>
          <w:sz w:val="26"/>
          <w:szCs w:val="26"/>
        </w:rPr>
        <w:t>doi</w:t>
      </w:r>
      <w:proofErr w:type="spellEnd"/>
      <w:r w:rsidRPr="00921A26">
        <w:rPr>
          <w:rFonts w:asciiTheme="majorBidi" w:hAnsiTheme="majorBidi" w:cstheme="majorBidi"/>
          <w:color w:val="auto"/>
          <w:sz w:val="26"/>
          <w:szCs w:val="26"/>
        </w:rPr>
        <w:t>: 10.1136/</w:t>
      </w:r>
      <w:proofErr w:type="gramStart"/>
      <w:r w:rsidRPr="00921A26">
        <w:rPr>
          <w:rFonts w:asciiTheme="majorBidi" w:hAnsiTheme="majorBidi" w:cstheme="majorBidi"/>
          <w:color w:val="auto"/>
          <w:sz w:val="26"/>
          <w:szCs w:val="26"/>
        </w:rPr>
        <w:t>bmj.n</w:t>
      </w:r>
      <w:proofErr w:type="gramEnd"/>
      <w:r w:rsidRPr="00921A26">
        <w:rPr>
          <w:rFonts w:asciiTheme="majorBidi" w:hAnsiTheme="majorBidi" w:cstheme="majorBidi"/>
          <w:color w:val="auto"/>
          <w:sz w:val="26"/>
          <w:szCs w:val="26"/>
        </w:rPr>
        <w:t>71</w:t>
      </w:r>
    </w:p>
    <w:p w14:paraId="5D9E9BC1" w14:textId="77777777" w:rsidR="00081502" w:rsidRPr="00921A26" w:rsidRDefault="00081502" w:rsidP="00081502">
      <w:pPr>
        <w:pStyle w:val="CM1"/>
        <w:spacing w:after="130"/>
        <w:jc w:val="center"/>
        <w:rPr>
          <w:rFonts w:asciiTheme="majorBidi" w:hAnsiTheme="majorBidi" w:cstheme="majorBidi"/>
          <w:sz w:val="26"/>
          <w:szCs w:val="26"/>
        </w:rPr>
      </w:pPr>
      <w:r w:rsidRPr="00921A26">
        <w:rPr>
          <w:rFonts w:asciiTheme="majorBidi" w:hAnsiTheme="majorBidi" w:cstheme="majorBidi"/>
          <w:color w:val="333399"/>
          <w:sz w:val="26"/>
          <w:szCs w:val="26"/>
        </w:rPr>
        <w:t>For more information, visit:</w:t>
      </w:r>
      <w:r w:rsidRPr="00921A26">
        <w:rPr>
          <w:rFonts w:asciiTheme="majorBidi" w:hAnsiTheme="majorBidi" w:cstheme="majorBidi"/>
          <w:color w:val="000000"/>
          <w:sz w:val="26"/>
          <w:szCs w:val="26"/>
          <w:lang w:val="da-DK"/>
        </w:rPr>
        <w:t xml:space="preserve"> </w:t>
      </w:r>
      <w:hyperlink r:id="rId8" w:history="1">
        <w:r w:rsidRPr="00921A26">
          <w:rPr>
            <w:rStyle w:val="Hyperlink"/>
            <w:rFonts w:asciiTheme="majorBidi" w:eastAsiaTheme="majorEastAsia" w:hAnsiTheme="majorBidi" w:cstheme="majorBidi"/>
            <w:sz w:val="26"/>
            <w:szCs w:val="26"/>
            <w:lang w:val="da-DK"/>
          </w:rPr>
          <w:t>http://www.prisma-statement.org/</w:t>
        </w:r>
      </w:hyperlink>
      <w:r w:rsidRPr="00921A26">
        <w:rPr>
          <w:rFonts w:asciiTheme="majorBidi" w:hAnsiTheme="majorBidi" w:cstheme="majorBidi"/>
          <w:color w:val="000000"/>
          <w:sz w:val="26"/>
          <w:szCs w:val="26"/>
          <w:lang w:val="da-DK"/>
        </w:rPr>
        <w:t xml:space="preserve"> </w:t>
      </w:r>
    </w:p>
    <w:p w14:paraId="711832BE" w14:textId="1A484373" w:rsidR="00081502" w:rsidRDefault="00081502">
      <w:pPr>
        <w:rPr>
          <w:lang w:val="en-CA"/>
        </w:rPr>
      </w:pPr>
      <w:r>
        <w:rPr>
          <w:lang w:val="en-CA"/>
        </w:rPr>
        <w:br w:type="page"/>
      </w:r>
    </w:p>
    <w:p w14:paraId="61504F8B" w14:textId="7CC4D7AD" w:rsidR="00446057" w:rsidRPr="00921A26" w:rsidRDefault="00081502" w:rsidP="00D404E9">
      <w:pPr>
        <w:rPr>
          <w:rFonts w:asciiTheme="majorBidi" w:hAnsiTheme="majorBidi" w:cstheme="majorBidi"/>
          <w:sz w:val="26"/>
          <w:szCs w:val="26"/>
          <w:lang w:val="en-CA"/>
        </w:rPr>
      </w:pPr>
      <w:r w:rsidRPr="00921A26">
        <w:rPr>
          <w:rFonts w:asciiTheme="majorBidi" w:hAnsiTheme="majorBidi" w:cstheme="majorBidi"/>
          <w:b/>
          <w:bCs/>
          <w:sz w:val="26"/>
          <w:szCs w:val="26"/>
          <w:lang w:val="en-CA"/>
        </w:rPr>
        <w:lastRenderedPageBreak/>
        <w:t>Table 1.</w:t>
      </w:r>
      <w:r w:rsidRPr="00921A26">
        <w:rPr>
          <w:rFonts w:asciiTheme="majorBidi" w:hAnsiTheme="majorBidi" w:cstheme="majorBidi"/>
          <w:sz w:val="26"/>
          <w:szCs w:val="26"/>
          <w:lang w:val="en-CA"/>
        </w:rPr>
        <w:t xml:space="preserve"> Full Included Studies’ Characteristics</w:t>
      </w:r>
    </w:p>
    <w:tbl>
      <w:tblPr>
        <w:tblStyle w:val="TableGrid"/>
        <w:tblW w:w="11515" w:type="dxa"/>
        <w:tblLayout w:type="fixed"/>
        <w:tblCellMar>
          <w:left w:w="0" w:type="dxa"/>
          <w:right w:w="0" w:type="dxa"/>
        </w:tblCellMar>
        <w:tblLook w:val="04A0" w:firstRow="1" w:lastRow="0" w:firstColumn="1" w:lastColumn="0" w:noHBand="0" w:noVBand="1"/>
      </w:tblPr>
      <w:tblGrid>
        <w:gridCol w:w="1075"/>
        <w:gridCol w:w="720"/>
        <w:gridCol w:w="990"/>
        <w:gridCol w:w="990"/>
        <w:gridCol w:w="630"/>
        <w:gridCol w:w="810"/>
        <w:gridCol w:w="2160"/>
        <w:gridCol w:w="3060"/>
        <w:gridCol w:w="1080"/>
      </w:tblGrid>
      <w:tr w:rsidR="004B1060" w:rsidRPr="007675B1" w14:paraId="15A60F5D" w14:textId="77777777" w:rsidTr="004B1060">
        <w:tc>
          <w:tcPr>
            <w:tcW w:w="1075" w:type="dxa"/>
          </w:tcPr>
          <w:p w14:paraId="57C6B190" w14:textId="77777777" w:rsidR="00C32A5C" w:rsidRPr="007675B1" w:rsidRDefault="00C32A5C" w:rsidP="00520FD1">
            <w:pPr>
              <w:jc w:val="center"/>
              <w:rPr>
                <w:rFonts w:ascii="Arial Narrow" w:hAnsi="Arial Narrow"/>
                <w:i/>
                <w:iCs/>
                <w:sz w:val="20"/>
                <w:szCs w:val="20"/>
              </w:rPr>
            </w:pPr>
            <w:bookmarkStart w:id="0" w:name="RANGE!A1:I27"/>
            <w:r w:rsidRPr="007675B1">
              <w:rPr>
                <w:rFonts w:ascii="Arial Narrow" w:hAnsi="Arial Narrow" w:cs="Arial"/>
                <w:b/>
                <w:bCs/>
                <w:i/>
                <w:iCs/>
                <w:sz w:val="20"/>
                <w:szCs w:val="20"/>
              </w:rPr>
              <w:t>Title</w:t>
            </w:r>
            <w:bookmarkEnd w:id="0"/>
          </w:p>
        </w:tc>
        <w:tc>
          <w:tcPr>
            <w:tcW w:w="720" w:type="dxa"/>
          </w:tcPr>
          <w:p w14:paraId="7C96C8C9"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Author, year</w:t>
            </w:r>
          </w:p>
        </w:tc>
        <w:tc>
          <w:tcPr>
            <w:tcW w:w="990" w:type="dxa"/>
          </w:tcPr>
          <w:p w14:paraId="3FA1C14E"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Peer-reviewed or Grey Literature</w:t>
            </w:r>
          </w:p>
        </w:tc>
        <w:tc>
          <w:tcPr>
            <w:tcW w:w="990" w:type="dxa"/>
          </w:tcPr>
          <w:p w14:paraId="3B819199"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Geographic scope</w:t>
            </w:r>
          </w:p>
        </w:tc>
        <w:tc>
          <w:tcPr>
            <w:tcW w:w="630" w:type="dxa"/>
          </w:tcPr>
          <w:p w14:paraId="74BB6043"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Study Design</w:t>
            </w:r>
          </w:p>
        </w:tc>
        <w:tc>
          <w:tcPr>
            <w:tcW w:w="810" w:type="dxa"/>
          </w:tcPr>
          <w:p w14:paraId="5368E7B2"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Assessed Quality</w:t>
            </w:r>
          </w:p>
        </w:tc>
        <w:tc>
          <w:tcPr>
            <w:tcW w:w="2160" w:type="dxa"/>
          </w:tcPr>
          <w:p w14:paraId="7A8D6D27"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MNCH availability facilitators</w:t>
            </w:r>
          </w:p>
        </w:tc>
        <w:tc>
          <w:tcPr>
            <w:tcW w:w="3060" w:type="dxa"/>
          </w:tcPr>
          <w:p w14:paraId="1EA17B0A" w14:textId="724394B9"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MNCH availability barriers</w:t>
            </w:r>
          </w:p>
        </w:tc>
        <w:tc>
          <w:tcPr>
            <w:tcW w:w="1080" w:type="dxa"/>
          </w:tcPr>
          <w:p w14:paraId="33F9EA80" w14:textId="77777777" w:rsidR="00C32A5C" w:rsidRPr="007675B1" w:rsidRDefault="00C32A5C" w:rsidP="00520FD1">
            <w:pPr>
              <w:jc w:val="center"/>
              <w:rPr>
                <w:rFonts w:ascii="Arial Narrow" w:hAnsi="Arial Narrow"/>
                <w:i/>
                <w:iCs/>
                <w:sz w:val="20"/>
                <w:szCs w:val="20"/>
              </w:rPr>
            </w:pPr>
            <w:r w:rsidRPr="007675B1">
              <w:rPr>
                <w:rFonts w:ascii="Arial Narrow" w:hAnsi="Arial Narrow" w:cs="Arial"/>
                <w:b/>
                <w:bCs/>
                <w:i/>
                <w:iCs/>
                <w:sz w:val="20"/>
                <w:szCs w:val="20"/>
              </w:rPr>
              <w:t>Key Themes</w:t>
            </w:r>
          </w:p>
        </w:tc>
      </w:tr>
      <w:tr w:rsidR="004B1060" w:rsidRPr="007675B1" w14:paraId="0816A5FD" w14:textId="77777777" w:rsidTr="004B1060">
        <w:tc>
          <w:tcPr>
            <w:tcW w:w="1075" w:type="dxa"/>
          </w:tcPr>
          <w:p w14:paraId="1EA8149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Individual- and community-level determinants of child immunization in the Democratic Republic of Congo: A multilevel analysis</w:t>
            </w:r>
          </w:p>
        </w:tc>
        <w:tc>
          <w:tcPr>
            <w:tcW w:w="720" w:type="dxa"/>
          </w:tcPr>
          <w:p w14:paraId="312B9CD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Acharya et al., 2018</w:t>
            </w:r>
          </w:p>
        </w:tc>
        <w:tc>
          <w:tcPr>
            <w:tcW w:w="990" w:type="dxa"/>
          </w:tcPr>
          <w:p w14:paraId="712D64E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75841E7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National </w:t>
            </w:r>
          </w:p>
        </w:tc>
        <w:tc>
          <w:tcPr>
            <w:tcW w:w="630" w:type="dxa"/>
          </w:tcPr>
          <w:p w14:paraId="6890EE6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Multistage cluster sampling </w:t>
            </w:r>
          </w:p>
        </w:tc>
        <w:tc>
          <w:tcPr>
            <w:tcW w:w="810" w:type="dxa"/>
          </w:tcPr>
          <w:p w14:paraId="1B17C4E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30</w:t>
            </w:r>
          </w:p>
        </w:tc>
        <w:tc>
          <w:tcPr>
            <w:tcW w:w="2160" w:type="dxa"/>
          </w:tcPr>
          <w:p w14:paraId="79E9D50A"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Availability of other MNCH services</w:t>
            </w:r>
            <w:r w:rsidRPr="007675B1">
              <w:rPr>
                <w:rFonts w:ascii="Arial Narrow" w:hAnsi="Arial Narrow" w:cs="Arial"/>
                <w:sz w:val="20"/>
                <w:szCs w:val="20"/>
              </w:rPr>
              <w:t>: ANC visits, institutional delivery, and postnatal care were significantly associated with higher full immunization coverage.</w:t>
            </w:r>
          </w:p>
        </w:tc>
        <w:tc>
          <w:tcPr>
            <w:tcW w:w="3060" w:type="dxa"/>
          </w:tcPr>
          <w:p w14:paraId="1A9EDBE4"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xml:space="preserve"> There is poor health infrastructure, including a weak cold chain system.</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w:t>
            </w:r>
            <w:r w:rsidRPr="007675B1">
              <w:rPr>
                <w:rFonts w:ascii="Arial Narrow" w:hAnsi="Arial Narrow" w:cs="Arial"/>
                <w:sz w:val="20"/>
                <w:szCs w:val="20"/>
              </w:rPr>
              <w:t>: For 41.2% of mothers, health care access was challenged by distance to a facility.</w:t>
            </w:r>
            <w:r w:rsidRPr="007675B1">
              <w:rPr>
                <w:rFonts w:ascii="Arial Narrow" w:hAnsi="Arial Narrow" w:cs="Arial"/>
                <w:sz w:val="20"/>
                <w:szCs w:val="20"/>
              </w:rPr>
              <w:br/>
            </w:r>
            <w:r w:rsidRPr="007675B1">
              <w:rPr>
                <w:rFonts w:ascii="Arial Narrow" w:hAnsi="Arial Narrow" w:cs="Arial"/>
                <w:sz w:val="20"/>
                <w:szCs w:val="20"/>
              </w:rPr>
              <w:br/>
              <w:t xml:space="preserve">Willingness to immunize children was hindered by expensive travel costs and long distances to facilities for poor people. </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Conflict</w:t>
            </w:r>
            <w:r w:rsidRPr="007675B1">
              <w:rPr>
                <w:rFonts w:ascii="Arial Narrow" w:hAnsi="Arial Narrow" w:cs="Arial"/>
                <w:sz w:val="20"/>
                <w:szCs w:val="20"/>
              </w:rPr>
              <w:t>: Authors suggest that militias and political instability may explain poor immunization coverage in Tanganyika.</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Financing: </w:t>
            </w:r>
            <w:r w:rsidRPr="007675B1">
              <w:rPr>
                <w:rFonts w:ascii="Arial Narrow" w:hAnsi="Arial Narrow" w:cs="Arial"/>
                <w:sz w:val="20"/>
                <w:szCs w:val="20"/>
              </w:rPr>
              <w:t>Unreliable government funding was identified as a pitfall of the vaccination program.</w:t>
            </w:r>
            <w:r w:rsidRPr="007675B1">
              <w:rPr>
                <w:rFonts w:ascii="Arial Narrow" w:hAnsi="Arial Narrow" w:cs="Arial"/>
                <w:b/>
                <w:bCs/>
                <w:sz w:val="20"/>
                <w:szCs w:val="20"/>
              </w:rPr>
              <w:br/>
            </w:r>
            <w:r w:rsidRPr="007675B1">
              <w:rPr>
                <w:rFonts w:ascii="Arial Narrow" w:hAnsi="Arial Narrow" w:cs="Arial"/>
                <w:b/>
                <w:bCs/>
                <w:sz w:val="20"/>
                <w:szCs w:val="20"/>
              </w:rPr>
              <w:br/>
              <w:t>Governance</w:t>
            </w:r>
            <w:r w:rsidRPr="007675B1">
              <w:rPr>
                <w:rFonts w:ascii="Arial Narrow" w:hAnsi="Arial Narrow" w:cs="Arial"/>
                <w:sz w:val="20"/>
                <w:szCs w:val="20"/>
              </w:rPr>
              <w:t xml:space="preserve">: Coordination, management and funding challenges include unreliability of government funding for vaccines, ineffective cold chain management, lack of proper support from health workers in certain regions and insufficient coordination of immunization stakeholders at provincial level. </w:t>
            </w:r>
          </w:p>
        </w:tc>
        <w:tc>
          <w:tcPr>
            <w:tcW w:w="1080" w:type="dxa"/>
          </w:tcPr>
          <w:p w14:paraId="5B668C0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Geography/Transportation, Conflict, Financing, Governance</w:t>
            </w:r>
          </w:p>
        </w:tc>
      </w:tr>
      <w:tr w:rsidR="004B1060" w:rsidRPr="007675B1" w14:paraId="37A745B4" w14:textId="77777777" w:rsidTr="004B1060">
        <w:tc>
          <w:tcPr>
            <w:tcW w:w="1075" w:type="dxa"/>
          </w:tcPr>
          <w:p w14:paraId="67EA8C4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Health services for women, children and adolescents in conflict affected settings: experience from North and South Kivu, Democratic Republic of Congo</w:t>
            </w:r>
          </w:p>
        </w:tc>
        <w:tc>
          <w:tcPr>
            <w:tcW w:w="720" w:type="dxa"/>
          </w:tcPr>
          <w:p w14:paraId="2C14C142"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Altare</w:t>
            </w:r>
            <w:proofErr w:type="spellEnd"/>
            <w:r w:rsidRPr="007675B1">
              <w:rPr>
                <w:rFonts w:ascii="Arial Narrow" w:hAnsi="Arial Narrow" w:cs="Arial"/>
                <w:sz w:val="20"/>
                <w:szCs w:val="20"/>
              </w:rPr>
              <w:t xml:space="preserve"> et al., 2020</w:t>
            </w:r>
          </w:p>
        </w:tc>
        <w:tc>
          <w:tcPr>
            <w:tcW w:w="990" w:type="dxa"/>
          </w:tcPr>
          <w:p w14:paraId="3346DAA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403F95D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North and South Kivu</w:t>
            </w:r>
          </w:p>
        </w:tc>
        <w:tc>
          <w:tcPr>
            <w:tcW w:w="630" w:type="dxa"/>
          </w:tcPr>
          <w:p w14:paraId="6264D43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Mixed-methods case study</w:t>
            </w:r>
          </w:p>
        </w:tc>
        <w:tc>
          <w:tcPr>
            <w:tcW w:w="810" w:type="dxa"/>
          </w:tcPr>
          <w:p w14:paraId="512D294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21</w:t>
            </w:r>
          </w:p>
        </w:tc>
        <w:tc>
          <w:tcPr>
            <w:tcW w:w="2160" w:type="dxa"/>
          </w:tcPr>
          <w:p w14:paraId="4C955B97"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Conflict:</w:t>
            </w:r>
            <w:r w:rsidRPr="007675B1">
              <w:rPr>
                <w:rFonts w:ascii="Arial Narrow" w:hAnsi="Arial Narrow" w:cs="Arial"/>
                <w:sz w:val="20"/>
                <w:szCs w:val="20"/>
              </w:rPr>
              <w:t xml:space="preserve"> Availability of services in conflict zones varied, and technical/financial support resulting </w:t>
            </w:r>
            <w:r>
              <w:rPr>
                <w:rFonts w:ascii="Arial Narrow" w:hAnsi="Arial Narrow" w:cs="Arial"/>
                <w:sz w:val="20"/>
                <w:szCs w:val="20"/>
              </w:rPr>
              <w:t>from</w:t>
            </w:r>
            <w:r w:rsidRPr="007675B1">
              <w:rPr>
                <w:rFonts w:ascii="Arial Narrow" w:hAnsi="Arial Narrow" w:cs="Arial"/>
                <w:sz w:val="20"/>
                <w:szCs w:val="20"/>
              </w:rPr>
              <w:t xml:space="preserve"> the conflict likely facilitates health service coverage in North and South Kivu.</w:t>
            </w:r>
            <w:r w:rsidRPr="007675B1">
              <w:rPr>
                <w:rFonts w:ascii="Arial Narrow" w:hAnsi="Arial Narrow" w:cs="Arial"/>
                <w:sz w:val="20"/>
                <w:szCs w:val="20"/>
              </w:rPr>
              <w:br/>
            </w:r>
            <w:r w:rsidRPr="007675B1">
              <w:rPr>
                <w:rFonts w:ascii="Arial Narrow" w:hAnsi="Arial Narrow" w:cs="Arial"/>
                <w:sz w:val="20"/>
                <w:szCs w:val="20"/>
              </w:rPr>
              <w:br/>
              <w:t xml:space="preserve">National surveys do not indicate that the conflict in North and South Kivu affected coverage trends in the two </w:t>
            </w:r>
            <w:proofErr w:type="gramStart"/>
            <w:r w:rsidRPr="007675B1">
              <w:rPr>
                <w:rFonts w:ascii="Arial Narrow" w:hAnsi="Arial Narrow" w:cs="Arial"/>
                <w:sz w:val="20"/>
                <w:szCs w:val="20"/>
              </w:rPr>
              <w:t>provinces  more</w:t>
            </w:r>
            <w:proofErr w:type="gramEnd"/>
            <w:r w:rsidRPr="007675B1">
              <w:rPr>
                <w:rFonts w:ascii="Arial Narrow" w:hAnsi="Arial Narrow" w:cs="Arial"/>
                <w:sz w:val="20"/>
                <w:szCs w:val="20"/>
              </w:rPr>
              <w:t xml:space="preserve"> severely than other parts of DRC. The reproductive, maternal, newborn, child, adolescent </w:t>
            </w:r>
            <w:proofErr w:type="gramStart"/>
            <w:r w:rsidRPr="007675B1">
              <w:rPr>
                <w:rFonts w:ascii="Arial Narrow" w:hAnsi="Arial Narrow" w:cs="Arial"/>
                <w:sz w:val="20"/>
                <w:szCs w:val="20"/>
              </w:rPr>
              <w:t>health</w:t>
            </w:r>
            <w:proofErr w:type="gramEnd"/>
            <w:r w:rsidRPr="007675B1">
              <w:rPr>
                <w:rFonts w:ascii="Arial Narrow" w:hAnsi="Arial Narrow" w:cs="Arial"/>
                <w:sz w:val="20"/>
                <w:szCs w:val="20"/>
              </w:rPr>
              <w:t xml:space="preserve"> and nutrition composite coverage index increased in North and South Kivu and nationally </w:t>
            </w:r>
            <w:r w:rsidRPr="007675B1">
              <w:rPr>
                <w:rFonts w:ascii="Arial Narrow" w:hAnsi="Arial Narrow" w:cs="Arial"/>
                <w:sz w:val="20"/>
                <w:szCs w:val="20"/>
              </w:rPr>
              <w:lastRenderedPageBreak/>
              <w:t xml:space="preserve">from 2000 to 2013. In North Kivu, it rose </w:t>
            </w:r>
            <w:proofErr w:type="gramStart"/>
            <w:r w:rsidRPr="007675B1">
              <w:rPr>
                <w:rFonts w:ascii="Arial Narrow" w:hAnsi="Arial Narrow" w:cs="Arial"/>
                <w:sz w:val="20"/>
                <w:szCs w:val="20"/>
              </w:rPr>
              <w:t>from  38.9</w:t>
            </w:r>
            <w:proofErr w:type="gramEnd"/>
            <w:r w:rsidRPr="007675B1">
              <w:rPr>
                <w:rFonts w:ascii="Arial Narrow" w:hAnsi="Arial Narrow" w:cs="Arial"/>
                <w:sz w:val="20"/>
                <w:szCs w:val="20"/>
              </w:rPr>
              <w:t xml:space="preserve"> to 61.9% and in South Kivu, from 29.2 to 63.9%, compared to the national rise from 37.6 to 59.4%. </w:t>
            </w:r>
            <w:r w:rsidRPr="007675B1">
              <w:rPr>
                <w:rFonts w:ascii="Arial Narrow" w:hAnsi="Arial Narrow" w:cs="Arial"/>
                <w:sz w:val="20"/>
                <w:szCs w:val="20"/>
              </w:rPr>
              <w:br/>
            </w:r>
            <w:r w:rsidRPr="007675B1">
              <w:rPr>
                <w:rFonts w:ascii="Arial Narrow" w:hAnsi="Arial Narrow" w:cs="Arial"/>
                <w:sz w:val="20"/>
                <w:szCs w:val="20"/>
              </w:rPr>
              <w:br/>
              <w:t>There were mixed results for conflict-affected areas within the provinces, with some displaying lower service coverage and some displaying higher coverage than stable areas.</w:t>
            </w:r>
            <w:r w:rsidRPr="007675B1">
              <w:rPr>
                <w:rFonts w:ascii="Arial Narrow" w:hAnsi="Arial Narrow" w:cs="Arial"/>
                <w:b/>
                <w:bCs/>
                <w:sz w:val="20"/>
                <w:szCs w:val="20"/>
              </w:rPr>
              <w:t xml:space="preserve"> </w:t>
            </w:r>
            <w:r w:rsidRPr="007675B1">
              <w:rPr>
                <w:rFonts w:ascii="Arial Narrow" w:hAnsi="Arial Narrow" w:cs="Arial"/>
                <w:sz w:val="20"/>
                <w:szCs w:val="20"/>
              </w:rPr>
              <w:t>Service availability varies by service (e.g. Vitamin A prescription vs. C sections).</w:t>
            </w:r>
          </w:p>
        </w:tc>
        <w:tc>
          <w:tcPr>
            <w:tcW w:w="3060" w:type="dxa"/>
          </w:tcPr>
          <w:p w14:paraId="18E77EAF"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lastRenderedPageBreak/>
              <w:t>HRH</w:t>
            </w:r>
            <w:r w:rsidRPr="007675B1">
              <w:rPr>
                <w:rFonts w:ascii="Arial Narrow" w:hAnsi="Arial Narrow" w:cs="Arial"/>
                <w:sz w:val="20"/>
                <w:szCs w:val="20"/>
              </w:rPr>
              <w:t>: HRH challenges include low availability and retention of skilled personnel, insufficient financial resources to ensure health workers’ regular payment, lack of regular payment for health workers in non-supported facilities, low and rarely-paid salaries, high turnover, insecurity, and lack of formal training.</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Facility readiness</w:t>
            </w:r>
            <w:r w:rsidRPr="007675B1">
              <w:rPr>
                <w:rFonts w:ascii="Arial Narrow" w:hAnsi="Arial Narrow" w:cs="Arial"/>
                <w:sz w:val="20"/>
                <w:szCs w:val="20"/>
              </w:rPr>
              <w:t>: Challenges include lack of basic materials and equipment, availability of medications, and facility running costs.</w:t>
            </w:r>
            <w:r w:rsidRPr="007675B1">
              <w:rPr>
                <w:rFonts w:ascii="Arial Narrow" w:hAnsi="Arial Narrow" w:cs="Arial"/>
                <w:sz w:val="20"/>
                <w:szCs w:val="20"/>
              </w:rPr>
              <w:br/>
            </w:r>
            <w:r w:rsidRPr="007675B1">
              <w:rPr>
                <w:rFonts w:ascii="Arial Narrow" w:hAnsi="Arial Narrow" w:cs="Arial"/>
                <w:sz w:val="20"/>
                <w:szCs w:val="20"/>
              </w:rPr>
              <w:br/>
              <w:t xml:space="preserve">The sole certified distribution center for medicaments, which has frequent stockouts, curtails availability of medicaments. </w:t>
            </w:r>
            <w:r w:rsidRPr="007675B1">
              <w:rPr>
                <w:rFonts w:ascii="Arial Narrow" w:hAnsi="Arial Narrow" w:cs="Arial"/>
                <w:sz w:val="20"/>
                <w:szCs w:val="20"/>
              </w:rPr>
              <w:br/>
            </w:r>
            <w:r w:rsidRPr="007675B1">
              <w:rPr>
                <w:rFonts w:ascii="Arial Narrow" w:hAnsi="Arial Narrow" w:cs="Arial"/>
                <w:sz w:val="20"/>
                <w:szCs w:val="20"/>
              </w:rPr>
              <w:br/>
              <w:t xml:space="preserve">The rarity of referral transport systems </w:t>
            </w:r>
            <w:r w:rsidRPr="007675B1">
              <w:rPr>
                <w:rFonts w:ascii="Arial Narrow" w:hAnsi="Arial Narrow" w:cs="Arial"/>
                <w:sz w:val="20"/>
                <w:szCs w:val="20"/>
              </w:rPr>
              <w:lastRenderedPageBreak/>
              <w:t xml:space="preserve">(especially in North Kivu) adds to health facility inaccessibility.  </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Geography/Transportation:</w:t>
            </w:r>
            <w:r w:rsidRPr="007675B1">
              <w:rPr>
                <w:rFonts w:ascii="Arial Narrow" w:hAnsi="Arial Narrow" w:cs="Arial"/>
                <w:sz w:val="20"/>
                <w:szCs w:val="20"/>
              </w:rPr>
              <w:t xml:space="preserve"> Geography and transportation are a major challenge in DRC. Facility distance, road conditions, insecurity, and the rainy season make it difficult to access certain locations -some of which are only accessible with a motorbike or helicopter. </w:t>
            </w:r>
            <w:r w:rsidRPr="007675B1">
              <w:rPr>
                <w:rFonts w:ascii="Arial Narrow" w:hAnsi="Arial Narrow" w:cs="Arial"/>
                <w:sz w:val="20"/>
                <w:szCs w:val="20"/>
              </w:rPr>
              <w:br/>
            </w:r>
            <w:r w:rsidRPr="007675B1">
              <w:rPr>
                <w:rFonts w:ascii="Arial Narrow" w:hAnsi="Arial Narrow" w:cs="Arial"/>
                <w:sz w:val="20"/>
                <w:szCs w:val="20"/>
              </w:rPr>
              <w:br/>
            </w:r>
            <w:proofErr w:type="gramStart"/>
            <w:r w:rsidRPr="007675B1">
              <w:rPr>
                <w:rFonts w:ascii="Arial Narrow" w:hAnsi="Arial Narrow" w:cs="Arial"/>
                <w:b/>
                <w:bCs/>
                <w:sz w:val="20"/>
                <w:szCs w:val="20"/>
              </w:rPr>
              <w:t>Governance</w:t>
            </w:r>
            <w:r w:rsidRPr="007675B1">
              <w:rPr>
                <w:rFonts w:ascii="Arial Narrow" w:hAnsi="Arial Narrow" w:cs="Arial"/>
                <w:sz w:val="20"/>
                <w:szCs w:val="20"/>
              </w:rPr>
              <w:t xml:space="preserve"> :Delivery</w:t>
            </w:r>
            <w:proofErr w:type="gramEnd"/>
            <w:r w:rsidRPr="007675B1">
              <w:rPr>
                <w:rFonts w:ascii="Arial Narrow" w:hAnsi="Arial Narrow" w:cs="Arial"/>
                <w:sz w:val="20"/>
                <w:szCs w:val="20"/>
              </w:rPr>
              <w:t xml:space="preserve"> is dependent on both public and private (e.g. faith-based, non-profit, and for-profit ) providers, though funding fragmentation results from </w:t>
            </w:r>
            <w:r>
              <w:rPr>
                <w:rFonts w:ascii="Arial Narrow" w:hAnsi="Arial Narrow" w:cs="Arial"/>
                <w:sz w:val="20"/>
                <w:szCs w:val="20"/>
              </w:rPr>
              <w:t>differences</w:t>
            </w:r>
            <w:r w:rsidRPr="007675B1">
              <w:rPr>
                <w:rFonts w:ascii="Arial Narrow" w:hAnsi="Arial Narrow" w:cs="Arial"/>
                <w:sz w:val="20"/>
                <w:szCs w:val="20"/>
              </w:rPr>
              <w:t xml:space="preserve"> in priorities and roles among funders. The presence of the UN and international organizations can confuse leadership structures.</w:t>
            </w:r>
          </w:p>
        </w:tc>
        <w:tc>
          <w:tcPr>
            <w:tcW w:w="1080" w:type="dxa"/>
          </w:tcPr>
          <w:p w14:paraId="03F3B65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Facility Readiness, HRH, Geography/Transportation, Conflict, Governance</w:t>
            </w:r>
          </w:p>
        </w:tc>
      </w:tr>
      <w:tr w:rsidR="004B1060" w:rsidRPr="007675B1" w14:paraId="168CAC90" w14:textId="77777777" w:rsidTr="004B1060">
        <w:tc>
          <w:tcPr>
            <w:tcW w:w="1075" w:type="dxa"/>
          </w:tcPr>
          <w:p w14:paraId="2729EE4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From Insecurity to Health Service Delivery: Pathways and System Response Strategies in the Eastern Democratic Republic of Congo. </w:t>
            </w:r>
          </w:p>
        </w:tc>
        <w:tc>
          <w:tcPr>
            <w:tcW w:w="720" w:type="dxa"/>
          </w:tcPr>
          <w:p w14:paraId="0EA6ABC7"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Altare</w:t>
            </w:r>
            <w:proofErr w:type="spellEnd"/>
            <w:r w:rsidRPr="007675B1">
              <w:rPr>
                <w:rFonts w:ascii="Arial Narrow" w:hAnsi="Arial Narrow" w:cs="Arial"/>
                <w:sz w:val="20"/>
                <w:szCs w:val="20"/>
              </w:rPr>
              <w:t xml:space="preserve"> et al., 2021</w:t>
            </w:r>
          </w:p>
        </w:tc>
        <w:tc>
          <w:tcPr>
            <w:tcW w:w="990" w:type="dxa"/>
          </w:tcPr>
          <w:p w14:paraId="2B18BB8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6EDFC3E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North and South Kivu</w:t>
            </w:r>
          </w:p>
        </w:tc>
        <w:tc>
          <w:tcPr>
            <w:tcW w:w="630" w:type="dxa"/>
          </w:tcPr>
          <w:p w14:paraId="196C1B5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Mixed-methods case study</w:t>
            </w:r>
          </w:p>
        </w:tc>
        <w:tc>
          <w:tcPr>
            <w:tcW w:w="810" w:type="dxa"/>
          </w:tcPr>
          <w:p w14:paraId="6360992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22</w:t>
            </w:r>
          </w:p>
        </w:tc>
        <w:tc>
          <w:tcPr>
            <w:tcW w:w="2160" w:type="dxa"/>
          </w:tcPr>
          <w:p w14:paraId="0BE0B694"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Adaptive capacity aims to mitigate access challenges. Specific strategies include distributing drugs at facility-level to reduce delivery issues.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Geography/Transportation:</w:t>
            </w:r>
            <w:r w:rsidRPr="007675B1">
              <w:rPr>
                <w:rFonts w:ascii="Arial Narrow" w:hAnsi="Arial Narrow" w:cs="Arial"/>
                <w:sz w:val="20"/>
                <w:szCs w:val="20"/>
              </w:rPr>
              <w:t xml:space="preserve"> Adaptive capacity strategies include mobile clinics, contingency planning to limit staff exposure to insecurity, distribute drugs at patient-level (especially for chronic diseases) to reduce necessary transportation, and maternity waiting homes ("</w:t>
            </w:r>
            <w:proofErr w:type="spellStart"/>
            <w:r w:rsidRPr="007675B1">
              <w:rPr>
                <w:rFonts w:ascii="Arial Narrow" w:hAnsi="Arial Narrow" w:cs="Arial"/>
                <w:sz w:val="20"/>
                <w:szCs w:val="20"/>
              </w:rPr>
              <w:t>Binyolas</w:t>
            </w:r>
            <w:proofErr w:type="spellEnd"/>
            <w:r w:rsidRPr="007675B1">
              <w:rPr>
                <w:rFonts w:ascii="Arial Narrow" w:hAnsi="Arial Narrow" w:cs="Arial"/>
                <w:sz w:val="20"/>
                <w:szCs w:val="20"/>
              </w:rPr>
              <w:t>") to allow women to commute to a facility during times of relative peace and stay there until labor.</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Respondents suggested the following HRH strategies: task shift to local staff and lower level staff in response to mobility and resource challenges; rapidly train staff to take on additional roles, including supervision; and train a pool of staff to anticipate turnover and attrition.</w:t>
            </w:r>
          </w:p>
        </w:tc>
        <w:tc>
          <w:tcPr>
            <w:tcW w:w="3060" w:type="dxa"/>
          </w:tcPr>
          <w:p w14:paraId="46C908D5"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Conflict: </w:t>
            </w:r>
            <w:r w:rsidRPr="007675B1">
              <w:rPr>
                <w:rFonts w:ascii="Arial Narrow" w:hAnsi="Arial Narrow" w:cs="Arial"/>
                <w:sz w:val="20"/>
                <w:szCs w:val="20"/>
              </w:rPr>
              <w:t>Conflict is associated with violence, lack of mobility, and resource scarcity, which all impact service delivery and quality.</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Geography/Transportation</w:t>
            </w:r>
            <w:r w:rsidRPr="007675B1">
              <w:rPr>
                <w:rFonts w:ascii="Arial Narrow" w:hAnsi="Arial Narrow" w:cs="Arial"/>
                <w:sz w:val="20"/>
                <w:szCs w:val="20"/>
              </w:rPr>
              <w:t>: Mobility is limited in conflict zones like North and South Kivu. Survey respondents identified delays in reaching care due to fear of violence, limited financial means for transportation or checkpoints, increase transportation costs (e.g. need for chartered services or alternative routes), and obstructed routes.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Authors note challenges in North and South Kivu including willingness to be stationed in a certain areas due to violence, stress resulting from violence, capacity to access the health facility given insecurity,  sustainability and motivation of conducting duties with limited resources, and limited training and supervision (which may not be considered essential duties).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Facility Readiness:</w:t>
            </w:r>
            <w:r w:rsidRPr="007675B1">
              <w:rPr>
                <w:rFonts w:ascii="Arial Narrow" w:hAnsi="Arial Narrow" w:cs="Arial"/>
                <w:sz w:val="20"/>
                <w:szCs w:val="20"/>
              </w:rPr>
              <w:t xml:space="preserve"> Drug/equipment availability is affected by looting or damages resulting from violence, delays in delivery given mobility limitations, and/or delays in procurement affecting available resources - all are related to conflict.</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Funding fragmentation can occur with NGOs.</w:t>
            </w:r>
          </w:p>
        </w:tc>
        <w:tc>
          <w:tcPr>
            <w:tcW w:w="1080" w:type="dxa"/>
          </w:tcPr>
          <w:p w14:paraId="2964AEA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Geography/Transportation, Conflict. Governance</w:t>
            </w:r>
          </w:p>
        </w:tc>
      </w:tr>
      <w:tr w:rsidR="004B1060" w:rsidRPr="007675B1" w14:paraId="13A1E80F" w14:textId="77777777" w:rsidTr="004B1060">
        <w:tc>
          <w:tcPr>
            <w:tcW w:w="1075" w:type="dxa"/>
          </w:tcPr>
          <w:p w14:paraId="2DC4C1C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Predictors of measles vaccination coverage among children 6–59 months of age in the Democratic Republic of the Congo</w:t>
            </w:r>
          </w:p>
        </w:tc>
        <w:tc>
          <w:tcPr>
            <w:tcW w:w="720" w:type="dxa"/>
          </w:tcPr>
          <w:p w14:paraId="704A518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Ashbaugh et al., 2018</w:t>
            </w:r>
          </w:p>
        </w:tc>
        <w:tc>
          <w:tcPr>
            <w:tcW w:w="990" w:type="dxa"/>
          </w:tcPr>
          <w:p w14:paraId="6E273D6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726C693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National </w:t>
            </w:r>
          </w:p>
        </w:tc>
        <w:tc>
          <w:tcPr>
            <w:tcW w:w="630" w:type="dxa"/>
          </w:tcPr>
          <w:p w14:paraId="440D757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Multivariate logistic regression model</w:t>
            </w:r>
          </w:p>
        </w:tc>
        <w:tc>
          <w:tcPr>
            <w:tcW w:w="810" w:type="dxa"/>
          </w:tcPr>
          <w:p w14:paraId="5360344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21</w:t>
            </w:r>
          </w:p>
        </w:tc>
        <w:tc>
          <w:tcPr>
            <w:tcW w:w="2160" w:type="dxa"/>
          </w:tcPr>
          <w:p w14:paraId="2CC1ECF8"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Conflict</w:t>
            </w:r>
            <w:r w:rsidRPr="007675B1">
              <w:rPr>
                <w:rFonts w:ascii="Arial Narrow" w:hAnsi="Arial Narrow" w:cs="Arial"/>
                <w:sz w:val="20"/>
                <w:szCs w:val="20"/>
              </w:rPr>
              <w:t>: Living in a province experiencing high levels of conflict-related displacement was predictive of measles vaccination. Authors note consistency with other studies and suggest the concentration of aid workers may explain it.</w:t>
            </w:r>
          </w:p>
        </w:tc>
        <w:tc>
          <w:tcPr>
            <w:tcW w:w="3060" w:type="dxa"/>
          </w:tcPr>
          <w:p w14:paraId="26ACBEE3"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Geography</w:t>
            </w:r>
            <w:r w:rsidRPr="007675B1">
              <w:rPr>
                <w:rFonts w:ascii="Arial Narrow" w:hAnsi="Arial Narrow" w:cs="Arial"/>
                <w:sz w:val="20"/>
                <w:szCs w:val="20"/>
              </w:rPr>
              <w:t>- Significant rural/urban disparities exist, and significant differences in vaccination rates exits between provinces.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Facility Readiness: </w:t>
            </w:r>
            <w:r w:rsidRPr="007675B1">
              <w:rPr>
                <w:rFonts w:ascii="Arial Narrow" w:hAnsi="Arial Narrow" w:cs="Arial"/>
                <w:sz w:val="20"/>
                <w:szCs w:val="20"/>
              </w:rPr>
              <w:t>Authors mention logistic and infrastructural limitations. Clinics are short-staffed, lack regular vaccine deliveries and may not possess equipment or have consistent electricity/generators needed to adequately maintain the cold chain.</w:t>
            </w:r>
          </w:p>
        </w:tc>
        <w:tc>
          <w:tcPr>
            <w:tcW w:w="1080" w:type="dxa"/>
          </w:tcPr>
          <w:p w14:paraId="4C23C74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Geography/Transportation, Conflict</w:t>
            </w:r>
          </w:p>
        </w:tc>
      </w:tr>
      <w:tr w:rsidR="004B1060" w:rsidRPr="007675B1" w14:paraId="5EED5F0B" w14:textId="77777777" w:rsidTr="004B1060">
        <w:tc>
          <w:tcPr>
            <w:tcW w:w="1075" w:type="dxa"/>
          </w:tcPr>
          <w:p w14:paraId="4550506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Developing strategies to attract, retain and support midwives in rural fragile settings: participatory workshops with health system stakeholders in </w:t>
            </w:r>
            <w:proofErr w:type="spellStart"/>
            <w:r w:rsidRPr="007675B1">
              <w:rPr>
                <w:rFonts w:ascii="Arial Narrow" w:hAnsi="Arial Narrow" w:cs="Arial"/>
                <w:sz w:val="20"/>
                <w:szCs w:val="20"/>
              </w:rPr>
              <w:t>Ituri</w:t>
            </w:r>
            <w:proofErr w:type="spellEnd"/>
            <w:r w:rsidRPr="007675B1">
              <w:rPr>
                <w:rFonts w:ascii="Arial Narrow" w:hAnsi="Arial Narrow" w:cs="Arial"/>
                <w:sz w:val="20"/>
                <w:szCs w:val="20"/>
              </w:rPr>
              <w:t xml:space="preserve"> Province, Democratic Republic of Congo</w:t>
            </w:r>
          </w:p>
        </w:tc>
        <w:tc>
          <w:tcPr>
            <w:tcW w:w="720" w:type="dxa"/>
          </w:tcPr>
          <w:p w14:paraId="352A62A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Baba et al., 2020</w:t>
            </w:r>
          </w:p>
        </w:tc>
        <w:tc>
          <w:tcPr>
            <w:tcW w:w="990" w:type="dxa"/>
          </w:tcPr>
          <w:p w14:paraId="3617809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3EAC746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Bunia, </w:t>
            </w:r>
            <w:proofErr w:type="gramStart"/>
            <w:r w:rsidRPr="007675B1">
              <w:rPr>
                <w:rFonts w:ascii="Arial Narrow" w:hAnsi="Arial Narrow" w:cs="Arial"/>
                <w:sz w:val="20"/>
                <w:szCs w:val="20"/>
              </w:rPr>
              <w:t>Aru</w:t>
            </w:r>
            <w:proofErr w:type="gramEnd"/>
            <w:r w:rsidRPr="007675B1">
              <w:rPr>
                <w:rFonts w:ascii="Arial Narrow" w:hAnsi="Arial Narrow" w:cs="Arial"/>
                <w:sz w:val="20"/>
                <w:szCs w:val="20"/>
              </w:rPr>
              <w:t xml:space="preserve"> and </w:t>
            </w:r>
            <w:proofErr w:type="spellStart"/>
            <w:r w:rsidRPr="007675B1">
              <w:rPr>
                <w:rFonts w:ascii="Arial Narrow" w:hAnsi="Arial Narrow" w:cs="Arial"/>
                <w:sz w:val="20"/>
                <w:szCs w:val="20"/>
              </w:rPr>
              <w:t>Adja</w:t>
            </w:r>
            <w:proofErr w:type="spellEnd"/>
            <w:r w:rsidRPr="007675B1">
              <w:rPr>
                <w:rFonts w:ascii="Arial Narrow" w:hAnsi="Arial Narrow" w:cs="Arial"/>
                <w:sz w:val="20"/>
                <w:szCs w:val="20"/>
              </w:rPr>
              <w:t xml:space="preserve"> health districts in </w:t>
            </w:r>
            <w:proofErr w:type="spellStart"/>
            <w:r w:rsidRPr="007675B1">
              <w:rPr>
                <w:rFonts w:ascii="Arial Narrow" w:hAnsi="Arial Narrow" w:cs="Arial"/>
                <w:sz w:val="20"/>
                <w:szCs w:val="20"/>
              </w:rPr>
              <w:t>Ituri</w:t>
            </w:r>
            <w:proofErr w:type="spellEnd"/>
            <w:r w:rsidRPr="007675B1">
              <w:rPr>
                <w:rFonts w:ascii="Arial Narrow" w:hAnsi="Arial Narrow" w:cs="Arial"/>
                <w:sz w:val="20"/>
                <w:szCs w:val="20"/>
              </w:rPr>
              <w:t xml:space="preserve"> Province</w:t>
            </w:r>
          </w:p>
        </w:tc>
        <w:tc>
          <w:tcPr>
            <w:tcW w:w="630" w:type="dxa"/>
          </w:tcPr>
          <w:p w14:paraId="78FB381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Qualitative, mixed, and participatory research methods</w:t>
            </w:r>
          </w:p>
        </w:tc>
        <w:tc>
          <w:tcPr>
            <w:tcW w:w="810" w:type="dxa"/>
          </w:tcPr>
          <w:p w14:paraId="58A3909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32</w:t>
            </w:r>
          </w:p>
        </w:tc>
        <w:tc>
          <w:tcPr>
            <w:tcW w:w="2160" w:type="dxa"/>
          </w:tcPr>
          <w:p w14:paraId="15EDC5C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w:t>
            </w:r>
            <w:r w:rsidRPr="007675B1">
              <w:rPr>
                <w:rFonts w:ascii="Arial Narrow" w:hAnsi="Arial Narrow" w:cs="Arial"/>
                <w:sz w:val="20"/>
                <w:szCs w:val="20"/>
              </w:rPr>
              <w:t xml:space="preserve">: </w:t>
            </w:r>
            <w:r w:rsidRPr="007675B1">
              <w:rPr>
                <w:rFonts w:ascii="Arial Narrow" w:hAnsi="Arial Narrow" w:cs="Arial"/>
                <w:i/>
                <w:iCs/>
                <w:sz w:val="20"/>
                <w:szCs w:val="20"/>
              </w:rPr>
              <w:t>(education)</w:t>
            </w:r>
            <w:r w:rsidRPr="007675B1">
              <w:rPr>
                <w:rFonts w:ascii="Arial Narrow" w:hAnsi="Arial Narrow" w:cs="Arial"/>
                <w:sz w:val="20"/>
                <w:szCs w:val="20"/>
              </w:rPr>
              <w:t xml:space="preserve"> Recommendations include (1) creation of new nursing schools, midwifery training through churches, investment by the central government and promotion of nursing schools in rural areas to include midwifery training in rural areas. (2) selection and support of students from rural areas - community-based sponsorship scheme, where a local committee establishes the criteria and processes to ensure that local people are supported financially to attend training and return to serve locally. (3) demand generation through community awareness activities are churches, markets, schools, radio.</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i/>
                <w:iCs/>
                <w:sz w:val="20"/>
                <w:szCs w:val="20"/>
              </w:rPr>
              <w:t>(regulation)</w:t>
            </w:r>
            <w:r w:rsidRPr="007675B1">
              <w:rPr>
                <w:rFonts w:ascii="Arial Narrow" w:hAnsi="Arial Narrow" w:cs="Arial"/>
                <w:sz w:val="20"/>
                <w:szCs w:val="20"/>
              </w:rPr>
              <w:t xml:space="preserve"> Central government should prioritize civil service registration of midwives working in rural areas.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i/>
                <w:iCs/>
                <w:sz w:val="20"/>
                <w:szCs w:val="20"/>
              </w:rPr>
              <w:t>(financial incentives)</w:t>
            </w:r>
            <w:r w:rsidRPr="007675B1">
              <w:rPr>
                <w:rFonts w:ascii="Arial Narrow" w:hAnsi="Arial Narrow" w:cs="Arial"/>
                <w:sz w:val="20"/>
                <w:szCs w:val="20"/>
              </w:rPr>
              <w:t xml:space="preserve"> Receipt of salary, rural and remote allowance, and risk allowance were </w:t>
            </w:r>
            <w:proofErr w:type="gramStart"/>
            <w:r w:rsidRPr="007675B1">
              <w:rPr>
                <w:rFonts w:ascii="Arial Narrow" w:hAnsi="Arial Narrow" w:cs="Arial"/>
                <w:sz w:val="20"/>
                <w:szCs w:val="20"/>
              </w:rPr>
              <w:t>commonly-cited</w:t>
            </w:r>
            <w:proofErr w:type="gramEnd"/>
            <w:r w:rsidRPr="007675B1">
              <w:rPr>
                <w:rFonts w:ascii="Arial Narrow" w:hAnsi="Arial Narrow" w:cs="Arial"/>
                <w:sz w:val="20"/>
                <w:szCs w:val="20"/>
              </w:rPr>
              <w:t xml:space="preserve"> strategies for HRH attraction and retention across districts. Participants also suggested government investment.</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i/>
                <w:iCs/>
                <w:sz w:val="20"/>
                <w:szCs w:val="20"/>
              </w:rPr>
              <w:t>(personal/professional support)</w:t>
            </w:r>
            <w:r w:rsidRPr="007675B1">
              <w:rPr>
                <w:rFonts w:ascii="Arial Narrow" w:hAnsi="Arial Narrow" w:cs="Arial"/>
                <w:sz w:val="20"/>
                <w:szCs w:val="20"/>
              </w:rPr>
              <w:t xml:space="preserve"> (1) the central government should provide </w:t>
            </w:r>
            <w:r w:rsidRPr="007675B1">
              <w:rPr>
                <w:rFonts w:ascii="Arial Narrow" w:hAnsi="Arial Narrow" w:cs="Arial"/>
                <w:sz w:val="20"/>
                <w:szCs w:val="20"/>
              </w:rPr>
              <w:lastRenderedPageBreak/>
              <w:t>more attractive living and working conditions (e.g. housing close to health facilities, supportive workplaces). (2)  HRH working conditions could be improved with adequate equipment and supplies, supportive supervision, solid facility-level leadership, and ongoing training opportunities. (3) Better road conditions, security, and communication would increase rural working conditions. (4) Retention is driven by good relationships within health facilities and with local communities.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i/>
                <w:iCs/>
                <w:sz w:val="20"/>
                <w:szCs w:val="20"/>
              </w:rPr>
              <w:t xml:space="preserve">(other) </w:t>
            </w:r>
            <w:r w:rsidRPr="007675B1">
              <w:rPr>
                <w:rFonts w:ascii="Arial Narrow" w:hAnsi="Arial Narrow" w:cs="Arial"/>
                <w:sz w:val="20"/>
                <w:szCs w:val="20"/>
              </w:rPr>
              <w:t>Suggestions include social events, integration of traditional birth attendants to support midwives, positive training/placement experiences for new midwives.</w:t>
            </w:r>
          </w:p>
        </w:tc>
        <w:tc>
          <w:tcPr>
            <w:tcW w:w="3060" w:type="dxa"/>
          </w:tcPr>
          <w:p w14:paraId="5DC9E2A6"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lastRenderedPageBreak/>
              <w:t>HRH:</w:t>
            </w:r>
            <w:r w:rsidRPr="007675B1">
              <w:rPr>
                <w:rFonts w:ascii="Arial Narrow" w:hAnsi="Arial Narrow" w:cs="Arial"/>
                <w:sz w:val="20"/>
                <w:szCs w:val="20"/>
              </w:rPr>
              <w:t xml:space="preserve"> In DRC, there are shortages and inequitable distribution of health workers (including midwives), particularly in rural areas and fragile settings.</w:t>
            </w:r>
            <w:r w:rsidRPr="007675B1">
              <w:rPr>
                <w:rFonts w:ascii="Arial Narrow" w:hAnsi="Arial Narrow" w:cs="Arial"/>
                <w:sz w:val="20"/>
                <w:szCs w:val="20"/>
              </w:rPr>
              <w:br/>
            </w:r>
            <w:r w:rsidRPr="007675B1">
              <w:rPr>
                <w:rFonts w:ascii="Arial Narrow" w:hAnsi="Arial Narrow" w:cs="Arial"/>
                <w:sz w:val="20"/>
                <w:szCs w:val="20"/>
              </w:rPr>
              <w:br/>
              <w:t>Poor HRH Information systems and unattractive job postings (due to high workload, difficult working conditions, and no provision of salary) contribute to HRH shortages.</w:t>
            </w:r>
            <w:r w:rsidRPr="007675B1">
              <w:rPr>
                <w:rFonts w:ascii="Arial Narrow" w:hAnsi="Arial Narrow" w:cs="Arial"/>
                <w:sz w:val="20"/>
                <w:szCs w:val="20"/>
              </w:rPr>
              <w:br/>
            </w:r>
            <w:r w:rsidRPr="007675B1">
              <w:rPr>
                <w:rFonts w:ascii="Arial Narrow" w:hAnsi="Arial Narrow" w:cs="Arial"/>
                <w:sz w:val="20"/>
                <w:szCs w:val="20"/>
              </w:rPr>
              <w:br/>
              <w:t>Rural HRH is a low-priority policy issue and most of the policies in relation to rural attraction and retention of health workers were developed at the central level and not implemented, whilst a few have been partially put in place. Policies are not implemented consistently.</w:t>
            </w:r>
          </w:p>
        </w:tc>
        <w:tc>
          <w:tcPr>
            <w:tcW w:w="1080" w:type="dxa"/>
          </w:tcPr>
          <w:p w14:paraId="2508D55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HRH, Governance</w:t>
            </w:r>
          </w:p>
        </w:tc>
      </w:tr>
      <w:tr w:rsidR="004B1060" w:rsidRPr="007675B1" w14:paraId="01D6C085" w14:textId="77777777" w:rsidTr="004B1060">
        <w:tc>
          <w:tcPr>
            <w:tcW w:w="1075" w:type="dxa"/>
          </w:tcPr>
          <w:p w14:paraId="53640D2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Midwifery education, </w:t>
            </w:r>
            <w:proofErr w:type="gramStart"/>
            <w:r w:rsidRPr="007675B1">
              <w:rPr>
                <w:rFonts w:ascii="Arial Narrow" w:hAnsi="Arial Narrow" w:cs="Arial"/>
                <w:sz w:val="20"/>
                <w:szCs w:val="20"/>
              </w:rPr>
              <w:t>regulation</w:t>
            </w:r>
            <w:proofErr w:type="gramEnd"/>
            <w:r w:rsidRPr="007675B1">
              <w:rPr>
                <w:rFonts w:ascii="Arial Narrow" w:hAnsi="Arial Narrow" w:cs="Arial"/>
                <w:sz w:val="20"/>
                <w:szCs w:val="20"/>
              </w:rPr>
              <w:t xml:space="preserve"> and association in the Democratic Republic of Congo (DRC) – current state and challenges</w:t>
            </w:r>
          </w:p>
        </w:tc>
        <w:tc>
          <w:tcPr>
            <w:tcW w:w="720" w:type="dxa"/>
          </w:tcPr>
          <w:p w14:paraId="405A4B91"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Bogren</w:t>
            </w:r>
            <w:proofErr w:type="spellEnd"/>
            <w:r w:rsidRPr="007675B1">
              <w:rPr>
                <w:rFonts w:ascii="Arial Narrow" w:hAnsi="Arial Narrow" w:cs="Arial"/>
                <w:sz w:val="20"/>
                <w:szCs w:val="20"/>
              </w:rPr>
              <w:t xml:space="preserve"> et al., 2020</w:t>
            </w:r>
          </w:p>
        </w:tc>
        <w:tc>
          <w:tcPr>
            <w:tcW w:w="990" w:type="dxa"/>
          </w:tcPr>
          <w:p w14:paraId="6311D9C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3EDDB5C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National </w:t>
            </w:r>
          </w:p>
        </w:tc>
        <w:tc>
          <w:tcPr>
            <w:tcW w:w="630" w:type="dxa"/>
          </w:tcPr>
          <w:p w14:paraId="5A92D25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Qualitative, Quantitative and focus group discussions</w:t>
            </w:r>
          </w:p>
        </w:tc>
        <w:tc>
          <w:tcPr>
            <w:tcW w:w="810" w:type="dxa"/>
          </w:tcPr>
          <w:p w14:paraId="4D9BCE3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28</w:t>
            </w:r>
          </w:p>
        </w:tc>
        <w:tc>
          <w:tcPr>
            <w:tcW w:w="2160" w:type="dxa"/>
          </w:tcPr>
          <w:p w14:paraId="6D42C475"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HRH (education): </w:t>
            </w:r>
            <w:r w:rsidRPr="007675B1">
              <w:rPr>
                <w:rFonts w:ascii="Arial Narrow" w:hAnsi="Arial Narrow" w:cs="Arial"/>
                <w:sz w:val="20"/>
                <w:szCs w:val="20"/>
              </w:rPr>
              <w:t>There 16 institutions offering two types of midwifery education programs: a three-year direct-entry program (graduates receive a diploma), and a 12-month postgraduate program for nurses (graduates receive a certificate).</w:t>
            </w:r>
            <w:r w:rsidRPr="007675B1">
              <w:rPr>
                <w:rFonts w:ascii="Arial Narrow" w:hAnsi="Arial Narrow" w:cs="Arial"/>
                <w:sz w:val="20"/>
                <w:szCs w:val="20"/>
              </w:rPr>
              <w:br/>
            </w:r>
            <w:r w:rsidRPr="007675B1">
              <w:rPr>
                <w:rFonts w:ascii="Arial Narrow" w:hAnsi="Arial Narrow" w:cs="Arial"/>
                <w:sz w:val="20"/>
                <w:szCs w:val="20"/>
              </w:rPr>
              <w:br/>
              <w:t>Authors recommend improving midwifery programs to meet international standards, increasing the competency of educators, and adapting programs to result in a bachelor's or master's degree. Authors emphasize the need to legislate and regulate the profession.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Clear communication and collaboration is needed between stakeholders.</w:t>
            </w:r>
          </w:p>
        </w:tc>
        <w:tc>
          <w:tcPr>
            <w:tcW w:w="3060" w:type="dxa"/>
          </w:tcPr>
          <w:p w14:paraId="3577AA5A"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w:t>
            </w:r>
            <w:r w:rsidRPr="007675B1">
              <w:rPr>
                <w:rFonts w:ascii="Arial Narrow" w:hAnsi="Arial Narrow" w:cs="Arial"/>
                <w:sz w:val="20"/>
                <w:szCs w:val="20"/>
              </w:rPr>
              <w:t xml:space="preserve"> There are not enough midwives - 0.6 midwives, physicians, or nurses per 1,000 inhabitants. </w:t>
            </w:r>
            <w:r w:rsidRPr="007675B1">
              <w:rPr>
                <w:rFonts w:ascii="Arial Narrow" w:hAnsi="Arial Narrow" w:cs="Arial"/>
                <w:sz w:val="20"/>
                <w:szCs w:val="20"/>
              </w:rPr>
              <w:br/>
            </w:r>
            <w:r w:rsidRPr="007675B1">
              <w:rPr>
                <w:rFonts w:ascii="Arial Narrow" w:hAnsi="Arial Narrow" w:cs="Arial"/>
                <w:sz w:val="20"/>
                <w:szCs w:val="20"/>
              </w:rPr>
              <w:br/>
              <w:t>Although the midwifery association is established in DRC, the profession is not legislated.</w:t>
            </w:r>
            <w:r w:rsidRPr="007675B1">
              <w:rPr>
                <w:rFonts w:ascii="Arial Narrow" w:hAnsi="Arial Narrow" w:cs="Arial"/>
                <w:sz w:val="20"/>
                <w:szCs w:val="20"/>
              </w:rPr>
              <w:br/>
            </w:r>
            <w:r w:rsidRPr="007675B1">
              <w:rPr>
                <w:rFonts w:ascii="Arial Narrow" w:hAnsi="Arial Narrow" w:cs="Arial"/>
                <w:sz w:val="20"/>
                <w:szCs w:val="20"/>
              </w:rPr>
              <w:br/>
              <w:t>There is a lack of teaching and training equipment for meeting the education needs. The academic qualifications of educators are low. Midwife education programs do not result in a bachelor's or master's degree.</w:t>
            </w:r>
          </w:p>
        </w:tc>
        <w:tc>
          <w:tcPr>
            <w:tcW w:w="1080" w:type="dxa"/>
          </w:tcPr>
          <w:p w14:paraId="4ACEFD4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HRH, Governance  </w:t>
            </w:r>
          </w:p>
        </w:tc>
      </w:tr>
      <w:tr w:rsidR="004B1060" w:rsidRPr="007675B1" w14:paraId="5AB6BA0F" w14:textId="77777777" w:rsidTr="004B1060">
        <w:tc>
          <w:tcPr>
            <w:tcW w:w="1075" w:type="dxa"/>
          </w:tcPr>
          <w:p w14:paraId="26A4653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Midwives’ challenges and factors that motivate them to remain in their workplace in the Democratic Republic of Congo—an interview study</w:t>
            </w:r>
          </w:p>
        </w:tc>
        <w:tc>
          <w:tcPr>
            <w:tcW w:w="720" w:type="dxa"/>
          </w:tcPr>
          <w:p w14:paraId="0BCCB47A"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Bogren</w:t>
            </w:r>
            <w:proofErr w:type="spellEnd"/>
            <w:r w:rsidRPr="007675B1">
              <w:rPr>
                <w:rFonts w:ascii="Arial Narrow" w:hAnsi="Arial Narrow" w:cs="Arial"/>
                <w:sz w:val="20"/>
                <w:szCs w:val="20"/>
              </w:rPr>
              <w:t xml:space="preserve"> et al., 2020</w:t>
            </w:r>
          </w:p>
        </w:tc>
        <w:tc>
          <w:tcPr>
            <w:tcW w:w="990" w:type="dxa"/>
          </w:tcPr>
          <w:p w14:paraId="4734523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3D439E3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Maniema in eastern DRC and Kasai in the central part of the country</w:t>
            </w:r>
          </w:p>
        </w:tc>
        <w:tc>
          <w:tcPr>
            <w:tcW w:w="630" w:type="dxa"/>
          </w:tcPr>
          <w:p w14:paraId="661881D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Focus group discussions</w:t>
            </w:r>
          </w:p>
        </w:tc>
        <w:tc>
          <w:tcPr>
            <w:tcW w:w="810" w:type="dxa"/>
          </w:tcPr>
          <w:p w14:paraId="5539C5E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21</w:t>
            </w:r>
          </w:p>
        </w:tc>
        <w:tc>
          <w:tcPr>
            <w:tcW w:w="2160" w:type="dxa"/>
          </w:tcPr>
          <w:p w14:paraId="24695275"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 (midwife retention):</w:t>
            </w:r>
            <w:r w:rsidRPr="007675B1">
              <w:rPr>
                <w:rFonts w:ascii="Arial Narrow" w:hAnsi="Arial Narrow" w:cs="Arial"/>
                <w:sz w:val="20"/>
                <w:szCs w:val="20"/>
              </w:rPr>
              <w:t xml:space="preserve"> Facilitators to HRH retention and high-quality care include professional pride, loving the job, saving lives, and positive relationships with patients and communities.</w:t>
            </w:r>
            <w:r w:rsidRPr="007675B1">
              <w:rPr>
                <w:rFonts w:ascii="Arial Narrow" w:hAnsi="Arial Narrow" w:cs="Arial"/>
                <w:sz w:val="20"/>
                <w:szCs w:val="20"/>
              </w:rPr>
              <w:br/>
            </w:r>
            <w:r w:rsidRPr="007675B1">
              <w:rPr>
                <w:rFonts w:ascii="Arial Narrow" w:hAnsi="Arial Narrow" w:cs="Arial"/>
                <w:sz w:val="20"/>
                <w:szCs w:val="20"/>
              </w:rPr>
              <w:br/>
              <w:t xml:space="preserve">Authors suggest regional and national coordination to attract and retain midwives. Examples include providing education programs that meet international standards, implementing policies for renumeration, including </w:t>
            </w:r>
            <w:proofErr w:type="gramStart"/>
            <w:r w:rsidRPr="007675B1">
              <w:rPr>
                <w:rFonts w:ascii="Arial Narrow" w:hAnsi="Arial Narrow" w:cs="Arial"/>
                <w:sz w:val="20"/>
                <w:szCs w:val="20"/>
              </w:rPr>
              <w:t>midwives</w:t>
            </w:r>
            <w:proofErr w:type="gramEnd"/>
            <w:r w:rsidRPr="007675B1">
              <w:rPr>
                <w:rFonts w:ascii="Arial Narrow" w:hAnsi="Arial Narrow" w:cs="Arial"/>
                <w:sz w:val="20"/>
                <w:szCs w:val="20"/>
              </w:rPr>
              <w:t xml:space="preserve"> associations in policy discussions, and ensuring work environments are safe and well-equipped. </w:t>
            </w:r>
          </w:p>
        </w:tc>
        <w:tc>
          <w:tcPr>
            <w:tcW w:w="3060" w:type="dxa"/>
          </w:tcPr>
          <w:p w14:paraId="778D26C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w:t>
            </w:r>
            <w:r w:rsidRPr="007675B1">
              <w:rPr>
                <w:rFonts w:ascii="Arial Narrow" w:hAnsi="Arial Narrow" w:cs="Arial"/>
                <w:sz w:val="20"/>
                <w:szCs w:val="20"/>
              </w:rPr>
              <w:t xml:space="preserve"> The midwife workforce (1 midwife per 20,000 people) is insufficient for meeting maternal health needs and achieving the SDGs' target for maternal mortality.</w:t>
            </w:r>
            <w:r w:rsidRPr="007675B1">
              <w:rPr>
                <w:rFonts w:ascii="Arial Narrow" w:hAnsi="Arial Narrow" w:cs="Arial"/>
                <w:sz w:val="20"/>
                <w:szCs w:val="20"/>
              </w:rPr>
              <w:br/>
            </w:r>
            <w:r w:rsidRPr="007675B1">
              <w:rPr>
                <w:rFonts w:ascii="Arial Narrow" w:hAnsi="Arial Narrow" w:cs="Arial"/>
                <w:sz w:val="20"/>
                <w:szCs w:val="20"/>
              </w:rPr>
              <w:br/>
              <w:t xml:space="preserve">Challenges for midwives include difficult work environment, low professional status, lack of appropriate and sufficient payment, poor work-related security, and lack of resources. </w:t>
            </w:r>
            <w:r w:rsidRPr="007675B1">
              <w:rPr>
                <w:rFonts w:ascii="Arial Narrow" w:hAnsi="Arial Narrow" w:cs="Arial"/>
                <w:sz w:val="20"/>
                <w:szCs w:val="20"/>
              </w:rPr>
              <w:br/>
              <w:t xml:space="preserve"> </w:t>
            </w:r>
            <w:r w:rsidRPr="007675B1">
              <w:rPr>
                <w:rFonts w:ascii="Arial Narrow" w:hAnsi="Arial Narrow" w:cs="Arial"/>
                <w:sz w:val="20"/>
                <w:szCs w:val="20"/>
              </w:rPr>
              <w:br/>
              <w:t xml:space="preserve">The midwife profession is hindered by training programs that do not meet international standards and have educators with low-level academic qualifications. The profession is not regulated, so trained midwives often </w:t>
            </w:r>
            <w:proofErr w:type="gramStart"/>
            <w:r w:rsidRPr="007675B1">
              <w:rPr>
                <w:rFonts w:ascii="Arial Narrow" w:hAnsi="Arial Narrow" w:cs="Arial"/>
                <w:sz w:val="20"/>
                <w:szCs w:val="20"/>
              </w:rPr>
              <w:t>have to</w:t>
            </w:r>
            <w:proofErr w:type="gramEnd"/>
            <w:r w:rsidRPr="007675B1">
              <w:rPr>
                <w:rFonts w:ascii="Arial Narrow" w:hAnsi="Arial Narrow" w:cs="Arial"/>
                <w:sz w:val="20"/>
                <w:szCs w:val="20"/>
              </w:rPr>
              <w:t xml:space="preserve"> work outside the midwifery field.</w:t>
            </w:r>
            <w:r w:rsidRPr="007675B1">
              <w:rPr>
                <w:rFonts w:ascii="Arial Narrow" w:hAnsi="Arial Narrow" w:cs="Arial"/>
                <w:sz w:val="20"/>
                <w:szCs w:val="20"/>
              </w:rPr>
              <w:br/>
              <w:t xml:space="preserve"> </w:t>
            </w:r>
            <w:r w:rsidRPr="007675B1">
              <w:rPr>
                <w:rFonts w:ascii="Arial Narrow" w:hAnsi="Arial Narrow" w:cs="Arial"/>
                <w:b/>
                <w:bCs/>
                <w:sz w:val="20"/>
                <w:szCs w:val="20"/>
              </w:rPr>
              <w:br/>
              <w:t>Conflict:</w:t>
            </w:r>
            <w:r w:rsidRPr="007675B1">
              <w:rPr>
                <w:rFonts w:ascii="Arial Narrow" w:hAnsi="Arial Narrow" w:cs="Arial"/>
                <w:sz w:val="20"/>
                <w:szCs w:val="20"/>
              </w:rPr>
              <w:t xml:space="preserve"> The history of conflict has greatly strained the health system, contributing to poor healthcare quality and </w:t>
            </w:r>
          </w:p>
        </w:tc>
        <w:tc>
          <w:tcPr>
            <w:tcW w:w="1080" w:type="dxa"/>
          </w:tcPr>
          <w:p w14:paraId="7D16473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HRH, Conflict</w:t>
            </w:r>
          </w:p>
        </w:tc>
      </w:tr>
      <w:tr w:rsidR="004B1060" w:rsidRPr="007675B1" w14:paraId="4C62521A" w14:textId="77777777" w:rsidTr="004B1060">
        <w:tc>
          <w:tcPr>
            <w:tcW w:w="1075" w:type="dxa"/>
          </w:tcPr>
          <w:p w14:paraId="2F0CAA6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conditions, obstetric and neonatal care practices, and availability of emergency obstetric and neonatal care in 72 rural health facilities in the Democratic Republic of the Congo: A cross-sectional study</w:t>
            </w:r>
          </w:p>
        </w:tc>
        <w:tc>
          <w:tcPr>
            <w:tcW w:w="720" w:type="dxa"/>
          </w:tcPr>
          <w:p w14:paraId="13F1891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Carter et al., 2019</w:t>
            </w:r>
          </w:p>
        </w:tc>
        <w:tc>
          <w:tcPr>
            <w:tcW w:w="990" w:type="dxa"/>
          </w:tcPr>
          <w:p w14:paraId="3425B54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25A8A19D"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Kwango</w:t>
            </w:r>
            <w:proofErr w:type="spellEnd"/>
            <w:r w:rsidRPr="007675B1">
              <w:rPr>
                <w:rFonts w:ascii="Arial Narrow" w:hAnsi="Arial Narrow" w:cs="Arial"/>
                <w:sz w:val="20"/>
                <w:szCs w:val="20"/>
              </w:rPr>
              <w:t xml:space="preserve"> and </w:t>
            </w:r>
            <w:proofErr w:type="spellStart"/>
            <w:r w:rsidRPr="007675B1">
              <w:rPr>
                <w:rFonts w:ascii="Arial Narrow" w:hAnsi="Arial Narrow" w:cs="Arial"/>
                <w:sz w:val="20"/>
                <w:szCs w:val="20"/>
              </w:rPr>
              <w:t>Kwilu</w:t>
            </w:r>
            <w:proofErr w:type="spellEnd"/>
            <w:r w:rsidRPr="007675B1">
              <w:rPr>
                <w:rFonts w:ascii="Arial Narrow" w:hAnsi="Arial Narrow" w:cs="Arial"/>
                <w:sz w:val="20"/>
                <w:szCs w:val="20"/>
              </w:rPr>
              <w:t xml:space="preserve"> </w:t>
            </w:r>
          </w:p>
        </w:tc>
        <w:tc>
          <w:tcPr>
            <w:tcW w:w="630" w:type="dxa"/>
          </w:tcPr>
          <w:p w14:paraId="514CD3A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Cross-sectional study</w:t>
            </w:r>
          </w:p>
        </w:tc>
        <w:tc>
          <w:tcPr>
            <w:tcW w:w="810" w:type="dxa"/>
          </w:tcPr>
          <w:p w14:paraId="0B61BDA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24</w:t>
            </w:r>
          </w:p>
        </w:tc>
        <w:tc>
          <w:tcPr>
            <w:tcW w:w="2160" w:type="dxa"/>
          </w:tcPr>
          <w:p w14:paraId="3FB4E09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xml:space="preserve">: Despite challenges with facility readiness in rural DRC, referral hospitals and primary health centers were generally able to provide </w:t>
            </w:r>
            <w:proofErr w:type="spellStart"/>
            <w:r w:rsidRPr="007675B1">
              <w:rPr>
                <w:rFonts w:ascii="Arial Narrow" w:hAnsi="Arial Narrow" w:cs="Arial"/>
                <w:sz w:val="20"/>
                <w:szCs w:val="20"/>
              </w:rPr>
              <w:t>EmONC</w:t>
            </w:r>
            <w:proofErr w:type="spellEnd"/>
            <w:r w:rsidRPr="007675B1">
              <w:rPr>
                <w:rFonts w:ascii="Arial Narrow" w:hAnsi="Arial Narrow" w:cs="Arial"/>
                <w:sz w:val="20"/>
                <w:szCs w:val="20"/>
              </w:rPr>
              <w:t xml:space="preserve"> care. Observers found high frequencies of basic components of labor and delivery care (though those requiring more knowledge were observed in lower frequencies).</w:t>
            </w:r>
          </w:p>
        </w:tc>
        <w:tc>
          <w:tcPr>
            <w:tcW w:w="3060" w:type="dxa"/>
          </w:tcPr>
          <w:p w14:paraId="1919F567"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xml:space="preserve"> Availability of medicines and supplies at the facility-level affects delivery of high-quality care. In 72 facilities in </w:t>
            </w:r>
            <w:proofErr w:type="spellStart"/>
            <w:r w:rsidRPr="007675B1">
              <w:rPr>
                <w:rFonts w:ascii="Arial Narrow" w:hAnsi="Arial Narrow" w:cs="Arial"/>
                <w:sz w:val="20"/>
                <w:szCs w:val="20"/>
              </w:rPr>
              <w:t>Kwilu</w:t>
            </w:r>
            <w:proofErr w:type="spellEnd"/>
            <w:r w:rsidRPr="007675B1">
              <w:rPr>
                <w:rFonts w:ascii="Arial Narrow" w:hAnsi="Arial Narrow" w:cs="Arial"/>
                <w:sz w:val="20"/>
                <w:szCs w:val="20"/>
              </w:rPr>
              <w:t xml:space="preserve"> and </w:t>
            </w:r>
            <w:proofErr w:type="spellStart"/>
            <w:r w:rsidRPr="007675B1">
              <w:rPr>
                <w:rFonts w:ascii="Arial Narrow" w:hAnsi="Arial Narrow" w:cs="Arial"/>
                <w:sz w:val="20"/>
                <w:szCs w:val="20"/>
              </w:rPr>
              <w:t>Kwango</w:t>
            </w:r>
            <w:proofErr w:type="spellEnd"/>
            <w:r w:rsidRPr="007675B1">
              <w:rPr>
                <w:rFonts w:ascii="Arial Narrow" w:hAnsi="Arial Narrow" w:cs="Arial"/>
                <w:sz w:val="20"/>
                <w:szCs w:val="20"/>
              </w:rPr>
              <w:t>, facility readiness was poor but differed across province and facility type. Antenatal, delivery, and postnatal services varied across facilities but were available.</w:t>
            </w:r>
            <w:r w:rsidRPr="007675B1">
              <w:rPr>
                <w:rFonts w:ascii="Arial Narrow" w:hAnsi="Arial Narrow" w:cs="Arial"/>
                <w:sz w:val="20"/>
                <w:szCs w:val="20"/>
              </w:rPr>
              <w:br/>
            </w:r>
            <w:r w:rsidRPr="007675B1">
              <w:rPr>
                <w:rFonts w:ascii="Arial Narrow" w:hAnsi="Arial Narrow" w:cs="Arial"/>
                <w:sz w:val="20"/>
                <w:szCs w:val="20"/>
              </w:rPr>
              <w:br/>
              <w:t xml:space="preserve">Umbilical-cord-clamping materials and anti-hypertensive medicines and supplies were available in the lowest frequencies. Drinking water was available in 25.0% of all facilities. Electricity was available in 49.2% of labor rooms and 67.6% of delivery rooms in all facilities. Umbilical-cord-clamping materials were available at or under 40% of facilities and varied statistically significantly by </w:t>
            </w:r>
            <w:proofErr w:type="gramStart"/>
            <w:r w:rsidRPr="007675B1">
              <w:rPr>
                <w:rFonts w:ascii="Arial Narrow" w:hAnsi="Arial Narrow" w:cs="Arial"/>
                <w:sz w:val="20"/>
                <w:szCs w:val="20"/>
              </w:rPr>
              <w:t>province  (</w:t>
            </w:r>
            <w:proofErr w:type="gramEnd"/>
            <w:r w:rsidRPr="007675B1">
              <w:rPr>
                <w:rFonts w:ascii="Arial Narrow" w:hAnsi="Arial Narrow" w:cs="Arial"/>
                <w:sz w:val="20"/>
                <w:szCs w:val="20"/>
              </w:rPr>
              <w:t>p&lt;0.01).</w:t>
            </w:r>
            <w:r w:rsidRPr="007675B1">
              <w:rPr>
                <w:rFonts w:ascii="Arial Narrow" w:hAnsi="Arial Narrow" w:cs="Arial"/>
                <w:sz w:val="20"/>
                <w:szCs w:val="20"/>
              </w:rPr>
              <w:br/>
            </w:r>
            <w:r w:rsidRPr="007675B1">
              <w:rPr>
                <w:rFonts w:ascii="Arial Narrow" w:hAnsi="Arial Narrow" w:cs="Arial"/>
                <w:sz w:val="20"/>
                <w:szCs w:val="20"/>
              </w:rPr>
              <w:br/>
              <w:t xml:space="preserve">Maternity wards and delivery rooms were available in the high frequency (&gt;95% of all facilities). Stitching materials were available in 91.7% of GRH facilities </w:t>
            </w:r>
            <w:proofErr w:type="gramStart"/>
            <w:r w:rsidRPr="007675B1">
              <w:rPr>
                <w:rFonts w:ascii="Arial Narrow" w:hAnsi="Arial Narrow" w:cs="Arial"/>
                <w:sz w:val="20"/>
                <w:szCs w:val="20"/>
              </w:rPr>
              <w:t>but  only</w:t>
            </w:r>
            <w:proofErr w:type="gramEnd"/>
            <w:r w:rsidRPr="007675B1">
              <w:rPr>
                <w:rFonts w:ascii="Arial Narrow" w:hAnsi="Arial Narrow" w:cs="Arial"/>
                <w:sz w:val="20"/>
                <w:szCs w:val="20"/>
              </w:rPr>
              <w:t xml:space="preserve"> 58.3% of HC facilities, varying significantly (p&lt;0.05). Antibiotics, anticonvulsants, and oxytocin were available in more than 68.9% of facilities.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lastRenderedPageBreak/>
              <w:t>HRH (training):</w:t>
            </w:r>
            <w:r w:rsidRPr="007675B1">
              <w:rPr>
                <w:rFonts w:ascii="Arial Narrow" w:hAnsi="Arial Narrow" w:cs="Arial"/>
                <w:sz w:val="20"/>
                <w:szCs w:val="20"/>
              </w:rPr>
              <w:t xml:space="preserve"> Provision of antenatal care was observed across facilities, with results showing varying quality. Blood pressure was measured 94.9% of the time, whereas proteinuria was measured 14.7% of the time. Screening for HIV, anemia, and blood pressure were significantly different between provinces and facility types. Qualitative and quantitative data showed differences components of labor and delivery care requiring higher knowledge (e.g. </w:t>
            </w:r>
            <w:proofErr w:type="spellStart"/>
            <w:r w:rsidRPr="007675B1">
              <w:rPr>
                <w:rFonts w:ascii="Arial Narrow" w:hAnsi="Arial Narrow" w:cs="Arial"/>
                <w:sz w:val="20"/>
                <w:szCs w:val="20"/>
              </w:rPr>
              <w:t>partograms</w:t>
            </w:r>
            <w:proofErr w:type="spellEnd"/>
            <w:r w:rsidRPr="007675B1">
              <w:rPr>
                <w:rFonts w:ascii="Arial Narrow" w:hAnsi="Arial Narrow" w:cs="Arial"/>
                <w:sz w:val="20"/>
                <w:szCs w:val="20"/>
              </w:rPr>
              <w:t xml:space="preserve"> were not filled out or used correctly).</w:t>
            </w:r>
          </w:p>
        </w:tc>
        <w:tc>
          <w:tcPr>
            <w:tcW w:w="1080" w:type="dxa"/>
          </w:tcPr>
          <w:p w14:paraId="13E8286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Facility Readiness, HRH</w:t>
            </w:r>
          </w:p>
        </w:tc>
      </w:tr>
      <w:tr w:rsidR="004B1060" w:rsidRPr="007675B1" w14:paraId="0F9BC17D" w14:textId="77777777" w:rsidTr="004B1060">
        <w:tc>
          <w:tcPr>
            <w:tcW w:w="1075" w:type="dxa"/>
          </w:tcPr>
          <w:p w14:paraId="72F49E1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Community-based maternal and child health project on 4+ antenatal care in the Democratic Republic of Congo: a difference-in-differences analysis</w:t>
            </w:r>
          </w:p>
        </w:tc>
        <w:tc>
          <w:tcPr>
            <w:tcW w:w="720" w:type="dxa"/>
          </w:tcPr>
          <w:p w14:paraId="2D62A33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Lee et al., 2019</w:t>
            </w:r>
          </w:p>
        </w:tc>
        <w:tc>
          <w:tcPr>
            <w:tcW w:w="990" w:type="dxa"/>
          </w:tcPr>
          <w:p w14:paraId="3C1D39C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483F0A65"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Kwango</w:t>
            </w:r>
            <w:proofErr w:type="spellEnd"/>
            <w:r w:rsidRPr="007675B1">
              <w:rPr>
                <w:rFonts w:ascii="Arial Narrow" w:hAnsi="Arial Narrow" w:cs="Arial"/>
                <w:sz w:val="20"/>
                <w:szCs w:val="20"/>
              </w:rPr>
              <w:br/>
              <w:t>District (Kenge and Boko)</w:t>
            </w:r>
            <w:r w:rsidRPr="007675B1">
              <w:rPr>
                <w:rFonts w:ascii="Arial Narrow" w:hAnsi="Arial Narrow" w:cs="Arial"/>
                <w:sz w:val="20"/>
                <w:szCs w:val="20"/>
              </w:rPr>
              <w:br/>
            </w:r>
            <w:r w:rsidRPr="007675B1">
              <w:rPr>
                <w:rFonts w:ascii="Arial Narrow" w:hAnsi="Arial Narrow" w:cs="Arial"/>
                <w:sz w:val="20"/>
                <w:szCs w:val="20"/>
              </w:rPr>
              <w:br/>
              <w:t>Boko - control site</w:t>
            </w:r>
          </w:p>
        </w:tc>
        <w:tc>
          <w:tcPr>
            <w:tcW w:w="630" w:type="dxa"/>
          </w:tcPr>
          <w:p w14:paraId="357EA2E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Baseline and endline Survey research </w:t>
            </w:r>
          </w:p>
        </w:tc>
        <w:tc>
          <w:tcPr>
            <w:tcW w:w="810" w:type="dxa"/>
          </w:tcPr>
          <w:p w14:paraId="563B519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28</w:t>
            </w:r>
          </w:p>
        </w:tc>
        <w:tc>
          <w:tcPr>
            <w:tcW w:w="2160" w:type="dxa"/>
          </w:tcPr>
          <w:p w14:paraId="3CB56B50"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HRH: </w:t>
            </w:r>
            <w:r w:rsidRPr="007675B1">
              <w:rPr>
                <w:rFonts w:ascii="Arial Narrow" w:hAnsi="Arial Narrow" w:cs="Arial"/>
                <w:sz w:val="20"/>
                <w:szCs w:val="20"/>
              </w:rPr>
              <w:t xml:space="preserve">Availability of CHWs including </w:t>
            </w:r>
            <w:proofErr w:type="spellStart"/>
            <w:r w:rsidRPr="007675B1">
              <w:rPr>
                <w:rFonts w:ascii="Arial Narrow" w:hAnsi="Arial Narrow" w:cs="Arial"/>
                <w:sz w:val="20"/>
                <w:szCs w:val="20"/>
              </w:rPr>
              <w:t>relais</w:t>
            </w:r>
            <w:proofErr w:type="spellEnd"/>
            <w:r w:rsidRPr="007675B1">
              <w:rPr>
                <w:rFonts w:ascii="Arial Narrow" w:hAnsi="Arial Narrow" w:cs="Arial"/>
                <w:sz w:val="20"/>
                <w:szCs w:val="20"/>
              </w:rPr>
              <w:t xml:space="preserve"> </w:t>
            </w:r>
            <w:proofErr w:type="spellStart"/>
            <w:r w:rsidRPr="007675B1">
              <w:rPr>
                <w:rFonts w:ascii="Arial Narrow" w:hAnsi="Arial Narrow" w:cs="Arial"/>
                <w:sz w:val="20"/>
                <w:szCs w:val="20"/>
              </w:rPr>
              <w:t>communitaires</w:t>
            </w:r>
            <w:proofErr w:type="spellEnd"/>
            <w:r w:rsidRPr="007675B1">
              <w:rPr>
                <w:rFonts w:ascii="Arial Narrow" w:hAnsi="Arial Narrow" w:cs="Arial"/>
                <w:sz w:val="20"/>
                <w:szCs w:val="20"/>
              </w:rPr>
              <w:t>, nurses, midwives, pharmacists, and nutritionists, improve MNCH service availability.</w:t>
            </w:r>
            <w:r w:rsidRPr="007675B1">
              <w:rPr>
                <w:rFonts w:ascii="Arial Narrow" w:hAnsi="Arial Narrow" w:cs="Arial"/>
                <w:sz w:val="20"/>
                <w:szCs w:val="20"/>
              </w:rPr>
              <w:br/>
            </w:r>
            <w:r w:rsidRPr="007675B1">
              <w:rPr>
                <w:rFonts w:ascii="Arial Narrow" w:hAnsi="Arial Narrow" w:cs="Arial"/>
                <w:sz w:val="20"/>
                <w:szCs w:val="20"/>
              </w:rPr>
              <w:br/>
              <w:t>To improve availability of services, the team trained health workers including nurses, midwives, pharmacists, and nutritionists to build HRH capacity.</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Facility readiness:</w:t>
            </w:r>
            <w:r w:rsidRPr="007675B1">
              <w:rPr>
                <w:rFonts w:ascii="Arial Narrow" w:hAnsi="Arial Narrow" w:cs="Arial"/>
                <w:sz w:val="20"/>
                <w:szCs w:val="20"/>
              </w:rPr>
              <w:t xml:space="preserve"> Facilitators include establishment of maternal and newborn healthcare units and supply of essential medicines.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Geography/Transportation</w:t>
            </w:r>
            <w:r w:rsidRPr="007675B1">
              <w:rPr>
                <w:rFonts w:ascii="Arial Narrow" w:hAnsi="Arial Narrow" w:cs="Arial"/>
                <w:sz w:val="20"/>
                <w:szCs w:val="20"/>
              </w:rPr>
              <w:t>: Transportation (ambulance, motorcycles, etc.) improved accessibility of health services, resulting in more facility visits.</w:t>
            </w:r>
          </w:p>
        </w:tc>
        <w:tc>
          <w:tcPr>
            <w:tcW w:w="3060" w:type="dxa"/>
          </w:tcPr>
          <w:p w14:paraId="16E2C005"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HRH: </w:t>
            </w:r>
            <w:r w:rsidRPr="007675B1">
              <w:rPr>
                <w:rFonts w:ascii="Arial Narrow" w:hAnsi="Arial Narrow" w:cs="Arial"/>
                <w:sz w:val="20"/>
                <w:szCs w:val="20"/>
              </w:rPr>
              <w:t>High care provider turnover; overcrowded facilities and high provider workload contributed to provider shortages and hindered ANC service delivery.</w:t>
            </w:r>
          </w:p>
        </w:tc>
        <w:tc>
          <w:tcPr>
            <w:tcW w:w="1080" w:type="dxa"/>
          </w:tcPr>
          <w:p w14:paraId="13ED3F2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Geography/Transportation</w:t>
            </w:r>
          </w:p>
        </w:tc>
      </w:tr>
      <w:tr w:rsidR="004B1060" w:rsidRPr="007675B1" w14:paraId="782514BF" w14:textId="77777777" w:rsidTr="004B1060">
        <w:tc>
          <w:tcPr>
            <w:tcW w:w="1075" w:type="dxa"/>
          </w:tcPr>
          <w:p w14:paraId="655A8C7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Better than nothing? maternal, newborn, and child health services and perinatal mortality, Lubumbashi, Democratic Republic of the Congo: a cohort study</w:t>
            </w:r>
          </w:p>
        </w:tc>
        <w:tc>
          <w:tcPr>
            <w:tcW w:w="720" w:type="dxa"/>
          </w:tcPr>
          <w:p w14:paraId="5DCC541A"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Ntambue</w:t>
            </w:r>
            <w:proofErr w:type="spellEnd"/>
            <w:r w:rsidRPr="007675B1">
              <w:rPr>
                <w:rFonts w:ascii="Arial Narrow" w:hAnsi="Arial Narrow" w:cs="Arial"/>
                <w:sz w:val="20"/>
                <w:szCs w:val="20"/>
              </w:rPr>
              <w:t xml:space="preserve"> et al., 2016</w:t>
            </w:r>
          </w:p>
        </w:tc>
        <w:tc>
          <w:tcPr>
            <w:tcW w:w="990" w:type="dxa"/>
          </w:tcPr>
          <w:p w14:paraId="02C3483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18B6D0A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Lubumbashi</w:t>
            </w:r>
          </w:p>
        </w:tc>
        <w:tc>
          <w:tcPr>
            <w:tcW w:w="630" w:type="dxa"/>
          </w:tcPr>
          <w:p w14:paraId="386F92F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Observational cohort study</w:t>
            </w:r>
          </w:p>
        </w:tc>
        <w:tc>
          <w:tcPr>
            <w:tcW w:w="810" w:type="dxa"/>
          </w:tcPr>
          <w:p w14:paraId="2B66586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22</w:t>
            </w:r>
          </w:p>
        </w:tc>
        <w:tc>
          <w:tcPr>
            <w:tcW w:w="2160" w:type="dxa"/>
          </w:tcPr>
          <w:p w14:paraId="105A9AF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w:t>
            </w:r>
          </w:p>
        </w:tc>
        <w:tc>
          <w:tcPr>
            <w:tcW w:w="3060" w:type="dxa"/>
          </w:tcPr>
          <w:p w14:paraId="7EF717D8"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Maternity kits are often lacking at facilities in Lubumbashi, leaving families to purchase one themselves (cost estimated at between $20 - $60).</w:t>
            </w:r>
            <w:r w:rsidRPr="007675B1">
              <w:rPr>
                <w:rFonts w:ascii="Arial Narrow" w:hAnsi="Arial Narrow" w:cs="Arial"/>
                <w:sz w:val="20"/>
                <w:szCs w:val="20"/>
              </w:rPr>
              <w:br/>
            </w:r>
            <w:r w:rsidRPr="007675B1">
              <w:rPr>
                <w:rFonts w:ascii="Arial Narrow" w:hAnsi="Arial Narrow" w:cs="Arial"/>
                <w:sz w:val="20"/>
                <w:szCs w:val="20"/>
              </w:rPr>
              <w:br/>
              <w:t xml:space="preserve">In instances where equipment such as oxygen is not available, the consequences can be life or death.  </w:t>
            </w:r>
            <w:r w:rsidRPr="007675B1">
              <w:rPr>
                <w:rFonts w:ascii="Arial Narrow" w:hAnsi="Arial Narrow" w:cs="Arial"/>
                <w:sz w:val="20"/>
                <w:szCs w:val="20"/>
              </w:rPr>
              <w:br/>
            </w:r>
            <w:r w:rsidRPr="007675B1">
              <w:rPr>
                <w:rFonts w:ascii="Arial Narrow" w:hAnsi="Arial Narrow" w:cs="Arial"/>
                <w:sz w:val="20"/>
                <w:szCs w:val="20"/>
              </w:rPr>
              <w:br/>
              <w:t xml:space="preserve">Lack of consumables, </w:t>
            </w:r>
            <w:proofErr w:type="gramStart"/>
            <w:r w:rsidRPr="007675B1">
              <w:rPr>
                <w:rFonts w:ascii="Arial Narrow" w:hAnsi="Arial Narrow" w:cs="Arial"/>
                <w:sz w:val="20"/>
                <w:szCs w:val="20"/>
              </w:rPr>
              <w:t>medicines</w:t>
            </w:r>
            <w:proofErr w:type="gramEnd"/>
            <w:r w:rsidRPr="007675B1">
              <w:rPr>
                <w:rFonts w:ascii="Arial Narrow" w:hAnsi="Arial Narrow" w:cs="Arial"/>
                <w:sz w:val="20"/>
                <w:szCs w:val="20"/>
              </w:rPr>
              <w:t xml:space="preserve"> and equipment; inadequate training; and lack of protocols for the management of</w:t>
            </w:r>
            <w:r w:rsidRPr="007675B1">
              <w:rPr>
                <w:rFonts w:ascii="Arial Narrow" w:hAnsi="Arial Narrow" w:cs="Arial"/>
                <w:sz w:val="20"/>
                <w:szCs w:val="20"/>
              </w:rPr>
              <w:br/>
              <w:t>complicated deliveries hinder availability of adequate services.</w:t>
            </w:r>
          </w:p>
        </w:tc>
        <w:tc>
          <w:tcPr>
            <w:tcW w:w="1080" w:type="dxa"/>
          </w:tcPr>
          <w:p w14:paraId="685AA2D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w:t>
            </w:r>
          </w:p>
        </w:tc>
      </w:tr>
      <w:tr w:rsidR="004B1060" w:rsidRPr="007675B1" w14:paraId="2183090E" w14:textId="77777777" w:rsidTr="004B1060">
        <w:tc>
          <w:tcPr>
            <w:tcW w:w="1075" w:type="dxa"/>
          </w:tcPr>
          <w:p w14:paraId="4199E80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Under-five mortality in the Democratic Republic of the Congo: secondary analyses of survey and conflict data by province</w:t>
            </w:r>
          </w:p>
        </w:tc>
        <w:tc>
          <w:tcPr>
            <w:tcW w:w="720" w:type="dxa"/>
          </w:tcPr>
          <w:p w14:paraId="4866820C"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Schedwin</w:t>
            </w:r>
            <w:proofErr w:type="spellEnd"/>
            <w:r>
              <w:rPr>
                <w:rFonts w:ascii="Arial Narrow" w:hAnsi="Arial Narrow" w:cs="Arial"/>
                <w:sz w:val="20"/>
                <w:szCs w:val="20"/>
              </w:rPr>
              <w:t xml:space="preserve"> </w:t>
            </w:r>
            <w:r w:rsidRPr="007675B1">
              <w:rPr>
                <w:rFonts w:ascii="Arial Narrow" w:hAnsi="Arial Narrow" w:cs="Arial"/>
                <w:sz w:val="20"/>
                <w:szCs w:val="20"/>
              </w:rPr>
              <w:t>et al.</w:t>
            </w:r>
            <w:proofErr w:type="gramStart"/>
            <w:r w:rsidRPr="007675B1">
              <w:rPr>
                <w:rFonts w:ascii="Arial Narrow" w:hAnsi="Arial Narrow" w:cs="Arial"/>
                <w:sz w:val="20"/>
                <w:szCs w:val="20"/>
              </w:rPr>
              <w:t>,  2022</w:t>
            </w:r>
            <w:proofErr w:type="gramEnd"/>
          </w:p>
        </w:tc>
        <w:tc>
          <w:tcPr>
            <w:tcW w:w="990" w:type="dxa"/>
          </w:tcPr>
          <w:p w14:paraId="1F97E0B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2094F54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National </w:t>
            </w:r>
          </w:p>
        </w:tc>
        <w:tc>
          <w:tcPr>
            <w:tcW w:w="630" w:type="dxa"/>
          </w:tcPr>
          <w:p w14:paraId="0D93212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Secondary data analysis research</w:t>
            </w:r>
          </w:p>
        </w:tc>
        <w:tc>
          <w:tcPr>
            <w:tcW w:w="810" w:type="dxa"/>
          </w:tcPr>
          <w:p w14:paraId="606BA60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33</w:t>
            </w:r>
          </w:p>
        </w:tc>
        <w:tc>
          <w:tcPr>
            <w:tcW w:w="2160" w:type="dxa"/>
          </w:tcPr>
          <w:p w14:paraId="1CCCC0E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Conflict (areas)</w:t>
            </w:r>
            <w:r w:rsidRPr="007675B1">
              <w:rPr>
                <w:rFonts w:ascii="Arial Narrow" w:hAnsi="Arial Narrow" w:cs="Arial"/>
                <w:sz w:val="20"/>
                <w:szCs w:val="20"/>
              </w:rPr>
              <w:t>: Conflict is not independently predictive of poor child health. Under-five mortality was higher in conflict-affect</w:t>
            </w:r>
            <w:r>
              <w:rPr>
                <w:rFonts w:ascii="Arial Narrow" w:hAnsi="Arial Narrow" w:cs="Arial"/>
                <w:sz w:val="20"/>
                <w:szCs w:val="20"/>
              </w:rPr>
              <w:t>ed</w:t>
            </w:r>
            <w:r w:rsidRPr="007675B1">
              <w:rPr>
                <w:rFonts w:ascii="Arial Narrow" w:hAnsi="Arial Narrow" w:cs="Arial"/>
                <w:sz w:val="20"/>
                <w:szCs w:val="20"/>
              </w:rPr>
              <w:t xml:space="preserve"> provinces, but it was not statistically significant. Provinces with conflict had both the highest and lowest mortality rates and indicator coverages. For 13 of 23 indicators, the odds of coverage were higher in conflict-affected provinces. Provinces without conflict had higher odds of coverage on one indicator (sleeping under an insecticide-treated bed net).</w:t>
            </w:r>
          </w:p>
        </w:tc>
        <w:tc>
          <w:tcPr>
            <w:tcW w:w="3060" w:type="dxa"/>
          </w:tcPr>
          <w:p w14:paraId="7611CC9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w:t>
            </w:r>
          </w:p>
        </w:tc>
        <w:tc>
          <w:tcPr>
            <w:tcW w:w="1080" w:type="dxa"/>
          </w:tcPr>
          <w:p w14:paraId="23E19E4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Conflict</w:t>
            </w:r>
          </w:p>
        </w:tc>
      </w:tr>
      <w:tr w:rsidR="004B1060" w:rsidRPr="007675B1" w14:paraId="01A1F256" w14:textId="77777777" w:rsidTr="004B1060">
        <w:tc>
          <w:tcPr>
            <w:tcW w:w="1075" w:type="dxa"/>
          </w:tcPr>
          <w:p w14:paraId="3AFF151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Challenges of Implementing Antenatal Ultrasound Screening in a Rural Study Site: A Case Study </w:t>
            </w:r>
            <w:r>
              <w:rPr>
                <w:rFonts w:ascii="Arial Narrow" w:hAnsi="Arial Narrow" w:cs="Arial"/>
                <w:sz w:val="20"/>
                <w:szCs w:val="20"/>
              </w:rPr>
              <w:t>f</w:t>
            </w:r>
            <w:r w:rsidRPr="007675B1">
              <w:rPr>
                <w:rFonts w:ascii="Arial Narrow" w:hAnsi="Arial Narrow" w:cs="Arial"/>
                <w:sz w:val="20"/>
                <w:szCs w:val="20"/>
              </w:rPr>
              <w:t>rom the Democratic Republic of the Congo</w:t>
            </w:r>
          </w:p>
        </w:tc>
        <w:tc>
          <w:tcPr>
            <w:tcW w:w="720" w:type="dxa"/>
          </w:tcPr>
          <w:p w14:paraId="66D8ACE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Swanson et al., 2017</w:t>
            </w:r>
          </w:p>
        </w:tc>
        <w:tc>
          <w:tcPr>
            <w:tcW w:w="990" w:type="dxa"/>
          </w:tcPr>
          <w:p w14:paraId="216E17C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1793CCF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Equateur Province in DRC </w:t>
            </w:r>
          </w:p>
        </w:tc>
        <w:tc>
          <w:tcPr>
            <w:tcW w:w="630" w:type="dxa"/>
          </w:tcPr>
          <w:p w14:paraId="1C2A1F9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Case study</w:t>
            </w:r>
          </w:p>
        </w:tc>
        <w:tc>
          <w:tcPr>
            <w:tcW w:w="810" w:type="dxa"/>
          </w:tcPr>
          <w:p w14:paraId="170B3FE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19</w:t>
            </w:r>
          </w:p>
        </w:tc>
        <w:tc>
          <w:tcPr>
            <w:tcW w:w="2160" w:type="dxa"/>
          </w:tcPr>
          <w:p w14:paraId="25A00692" w14:textId="77777777" w:rsidR="00C32A5C" w:rsidRPr="007675B1" w:rsidRDefault="00C32A5C" w:rsidP="00C1776D">
            <w:pPr>
              <w:rPr>
                <w:rFonts w:ascii="Arial Narrow" w:hAnsi="Arial Narrow"/>
                <w:sz w:val="20"/>
                <w:szCs w:val="20"/>
              </w:rPr>
            </w:pPr>
            <w:proofErr w:type="gramStart"/>
            <w:r w:rsidRPr="007675B1">
              <w:rPr>
                <w:rFonts w:ascii="Arial Narrow" w:hAnsi="Arial Narrow" w:cs="Arial"/>
                <w:b/>
                <w:bCs/>
                <w:sz w:val="20"/>
                <w:szCs w:val="20"/>
              </w:rPr>
              <w:t>Facility  Readiness</w:t>
            </w:r>
            <w:proofErr w:type="gramEnd"/>
            <w:r w:rsidRPr="007675B1">
              <w:rPr>
                <w:rFonts w:ascii="Arial Narrow" w:hAnsi="Arial Narrow" w:cs="Arial"/>
                <w:b/>
                <w:bCs/>
                <w:sz w:val="20"/>
                <w:szCs w:val="20"/>
              </w:rPr>
              <w:t xml:space="preserve">: </w:t>
            </w:r>
            <w:r w:rsidRPr="007675B1">
              <w:rPr>
                <w:rFonts w:ascii="Arial Narrow" w:hAnsi="Arial Narrow" w:cs="Arial"/>
                <w:sz w:val="20"/>
                <w:szCs w:val="20"/>
              </w:rPr>
              <w:t>The research team installed solar panels at health centers (on nearby poles since the thatched roofs of the health centers did not support installation) to provide the required power. However, solar panels were sometimes stolen or removed for security reasons.</w:t>
            </w:r>
            <w:r w:rsidRPr="007675B1">
              <w:rPr>
                <w:rFonts w:ascii="Arial Narrow" w:hAnsi="Arial Narrow" w:cs="Arial"/>
                <w:b/>
                <w:bCs/>
                <w:sz w:val="20"/>
                <w:szCs w:val="20"/>
              </w:rPr>
              <w:br/>
            </w:r>
            <w:r w:rsidRPr="007675B1">
              <w:rPr>
                <w:rFonts w:ascii="Arial Narrow" w:hAnsi="Arial Narrow" w:cs="Arial"/>
                <w:b/>
                <w:bCs/>
                <w:sz w:val="20"/>
                <w:szCs w:val="20"/>
              </w:rPr>
              <w:br/>
              <w:t>HRH</w:t>
            </w:r>
            <w:r w:rsidRPr="007675B1">
              <w:rPr>
                <w:rFonts w:ascii="Arial Narrow" w:hAnsi="Arial Narrow" w:cs="Arial"/>
                <w:sz w:val="20"/>
                <w:szCs w:val="20"/>
              </w:rPr>
              <w:t>: Authors identified dedicated, skilled, and motivated staff as a facilitator of their ultrasound intervention.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Geography/Transportation: </w:t>
            </w:r>
            <w:r w:rsidRPr="007675B1">
              <w:rPr>
                <w:rFonts w:ascii="Arial Narrow" w:hAnsi="Arial Narrow" w:cs="Arial"/>
                <w:sz w:val="20"/>
                <w:szCs w:val="20"/>
              </w:rPr>
              <w:t>Feasible transportation means, including bicycle trailers and motorcycles (when available) improved transportation.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Financing: </w:t>
            </w:r>
            <w:r w:rsidRPr="007675B1">
              <w:rPr>
                <w:rFonts w:ascii="Arial Narrow" w:hAnsi="Arial Narrow" w:cs="Arial"/>
                <w:sz w:val="20"/>
                <w:szCs w:val="20"/>
              </w:rPr>
              <w:t xml:space="preserve">Donors/grants/funders can reduce the cost of care, as the DFID grant did by 80% in the </w:t>
            </w:r>
            <w:proofErr w:type="spellStart"/>
            <w:r w:rsidRPr="007675B1">
              <w:rPr>
                <w:rFonts w:ascii="Arial Narrow" w:hAnsi="Arial Narrow" w:cs="Arial"/>
                <w:sz w:val="20"/>
                <w:szCs w:val="20"/>
              </w:rPr>
              <w:t>Karawa</w:t>
            </w:r>
            <w:proofErr w:type="spellEnd"/>
            <w:r w:rsidRPr="007675B1">
              <w:rPr>
                <w:rFonts w:ascii="Arial Narrow" w:hAnsi="Arial Narrow" w:cs="Arial"/>
                <w:sz w:val="20"/>
                <w:szCs w:val="20"/>
              </w:rPr>
              <w:t xml:space="preserve"> Hospital area.</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Conflict: </w:t>
            </w:r>
            <w:r w:rsidRPr="007675B1">
              <w:rPr>
                <w:rFonts w:ascii="Arial Narrow" w:hAnsi="Arial Narrow" w:cs="Arial"/>
                <w:sz w:val="20"/>
                <w:szCs w:val="20"/>
              </w:rPr>
              <w:t xml:space="preserve">To mitigate security concerns, the research team locked equipment in a centralized location each night. </w:t>
            </w:r>
          </w:p>
        </w:tc>
        <w:tc>
          <w:tcPr>
            <w:tcW w:w="3060" w:type="dxa"/>
          </w:tcPr>
          <w:p w14:paraId="0728CD9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xml:space="preserve"> Challenges included security, equipment maintenance and servicing, and access to consistent electricity. Supplies including blood and anesthesia were not always available - relatives with matching blood types often supplied blood and anesthesia was purchased outside the hospital.</w:t>
            </w:r>
            <w:r w:rsidRPr="007675B1">
              <w:rPr>
                <w:rFonts w:ascii="Arial Narrow" w:hAnsi="Arial Narrow" w:cs="Arial"/>
                <w:sz w:val="20"/>
                <w:szCs w:val="20"/>
              </w:rPr>
              <w:br/>
            </w:r>
            <w:r w:rsidRPr="007675B1">
              <w:rPr>
                <w:rFonts w:ascii="Arial Narrow" w:hAnsi="Arial Narrow" w:cs="Arial"/>
                <w:b/>
                <w:bCs/>
                <w:sz w:val="20"/>
                <w:szCs w:val="20"/>
              </w:rPr>
              <w:br/>
              <w:t>Geography/Transportation</w:t>
            </w:r>
            <w:r w:rsidRPr="007675B1">
              <w:rPr>
                <w:rFonts w:ascii="Arial Narrow" w:hAnsi="Arial Narrow" w:cs="Arial"/>
                <w:sz w:val="20"/>
                <w:szCs w:val="20"/>
              </w:rPr>
              <w:t>: In Equateur Province, transportation limits women's access to health care. Though bicycles (and rarely motorcycles) are sometimes available, most women must walk to the hospital. Bicycle trailers with canopies and seats for passengers are available at some health centers. Transportation can be limited by the season.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Financing:</w:t>
            </w:r>
            <w:r w:rsidRPr="007675B1">
              <w:rPr>
                <w:rFonts w:ascii="Arial Narrow" w:hAnsi="Arial Narrow" w:cs="Arial"/>
                <w:sz w:val="20"/>
                <w:szCs w:val="20"/>
              </w:rPr>
              <w:t xml:space="preserve"> For patients, the cost of hospital care was an important consideration and often a barrier to care for people living largely below the poverty line. The cost of a cesarean delivery at nearby hospital was US$50 and the cost of a vaginal delivery was US$10.</w:t>
            </w:r>
          </w:p>
        </w:tc>
        <w:tc>
          <w:tcPr>
            <w:tcW w:w="1080" w:type="dxa"/>
          </w:tcPr>
          <w:p w14:paraId="4364807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Geography/Transportation,</w:t>
            </w:r>
            <w:r>
              <w:rPr>
                <w:rFonts w:ascii="Arial Narrow" w:hAnsi="Arial Narrow" w:cs="Arial"/>
                <w:sz w:val="20"/>
                <w:szCs w:val="20"/>
              </w:rPr>
              <w:t xml:space="preserve"> </w:t>
            </w:r>
            <w:r w:rsidRPr="007675B1">
              <w:rPr>
                <w:rFonts w:ascii="Arial Narrow" w:hAnsi="Arial Narrow" w:cs="Arial"/>
                <w:sz w:val="20"/>
                <w:szCs w:val="20"/>
              </w:rPr>
              <w:t>Financing, Governance</w:t>
            </w:r>
          </w:p>
        </w:tc>
      </w:tr>
      <w:tr w:rsidR="004B1060" w:rsidRPr="007675B1" w14:paraId="109F3087" w14:textId="77777777" w:rsidTr="004B1060">
        <w:tc>
          <w:tcPr>
            <w:tcW w:w="1075" w:type="dxa"/>
          </w:tcPr>
          <w:p w14:paraId="3CDA863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Measuring inequalities in spatial access to health care Democratic Republic of Congo</w:t>
            </w:r>
          </w:p>
        </w:tc>
        <w:tc>
          <w:tcPr>
            <w:tcW w:w="720" w:type="dxa"/>
          </w:tcPr>
          <w:p w14:paraId="265ABB14"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Blankespoor</w:t>
            </w:r>
            <w:proofErr w:type="spellEnd"/>
            <w:r w:rsidRPr="007675B1">
              <w:rPr>
                <w:rFonts w:ascii="Arial Narrow" w:hAnsi="Arial Narrow" w:cs="Arial"/>
                <w:sz w:val="20"/>
                <w:szCs w:val="20"/>
              </w:rPr>
              <w:t>, Brian</w:t>
            </w:r>
            <w:r w:rsidRPr="007675B1">
              <w:rPr>
                <w:rFonts w:ascii="Arial Narrow" w:hAnsi="Arial Narrow" w:cs="Arial"/>
                <w:sz w:val="20"/>
                <w:szCs w:val="20"/>
              </w:rPr>
              <w:br/>
            </w:r>
            <w:proofErr w:type="spellStart"/>
            <w:r w:rsidRPr="007675B1">
              <w:rPr>
                <w:rFonts w:ascii="Arial Narrow" w:hAnsi="Arial Narrow" w:cs="Arial"/>
                <w:sz w:val="20"/>
                <w:szCs w:val="20"/>
              </w:rPr>
              <w:t>Bredenkamp</w:t>
            </w:r>
            <w:proofErr w:type="spellEnd"/>
            <w:r w:rsidRPr="007675B1">
              <w:rPr>
                <w:rFonts w:ascii="Arial Narrow" w:hAnsi="Arial Narrow" w:cs="Arial"/>
                <w:sz w:val="20"/>
                <w:szCs w:val="20"/>
              </w:rPr>
              <w:t>, Caryn, 2010</w:t>
            </w:r>
          </w:p>
        </w:tc>
        <w:tc>
          <w:tcPr>
            <w:tcW w:w="990" w:type="dxa"/>
          </w:tcPr>
          <w:p w14:paraId="01C7B2D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Grey Literature</w:t>
            </w:r>
          </w:p>
        </w:tc>
        <w:tc>
          <w:tcPr>
            <w:tcW w:w="990" w:type="dxa"/>
          </w:tcPr>
          <w:p w14:paraId="65242A3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Haut-Katanga</w:t>
            </w:r>
          </w:p>
        </w:tc>
        <w:tc>
          <w:tcPr>
            <w:tcW w:w="630" w:type="dxa"/>
          </w:tcPr>
          <w:p w14:paraId="3774202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Survey research</w:t>
            </w:r>
          </w:p>
        </w:tc>
        <w:tc>
          <w:tcPr>
            <w:tcW w:w="810" w:type="dxa"/>
          </w:tcPr>
          <w:p w14:paraId="7D01598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19</w:t>
            </w:r>
          </w:p>
        </w:tc>
        <w:tc>
          <w:tcPr>
            <w:tcW w:w="2160" w:type="dxa"/>
          </w:tcPr>
          <w:p w14:paraId="37D5153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Geography: H</w:t>
            </w:r>
            <w:r w:rsidRPr="007675B1">
              <w:rPr>
                <w:rFonts w:ascii="Arial Narrow" w:hAnsi="Arial Narrow" w:cs="Arial"/>
                <w:sz w:val="20"/>
                <w:szCs w:val="20"/>
              </w:rPr>
              <w:t>ealth posts can be used to reach populations that face geographic barriers (e.g. having to forge rivers) in accessing health care.</w:t>
            </w:r>
          </w:p>
        </w:tc>
        <w:tc>
          <w:tcPr>
            <w:tcW w:w="3060" w:type="dxa"/>
          </w:tcPr>
          <w:p w14:paraId="049CCD29"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Geography:</w:t>
            </w:r>
            <w:r w:rsidRPr="007675B1">
              <w:rPr>
                <w:rFonts w:ascii="Arial Narrow" w:hAnsi="Arial Narrow" w:cs="Arial"/>
                <w:sz w:val="20"/>
                <w:szCs w:val="20"/>
              </w:rPr>
              <w:t xml:space="preserve"> Lack of access to a main road/poor road network hinders service availability.</w:t>
            </w:r>
            <w:r w:rsidRPr="007675B1">
              <w:rPr>
                <w:rFonts w:ascii="Arial Narrow" w:hAnsi="Arial Narrow" w:cs="Arial"/>
                <w:sz w:val="20"/>
                <w:szCs w:val="20"/>
              </w:rPr>
              <w:br/>
            </w:r>
            <w:r w:rsidRPr="007675B1">
              <w:rPr>
                <w:rFonts w:ascii="Arial Narrow" w:hAnsi="Arial Narrow" w:cs="Arial"/>
                <w:sz w:val="20"/>
                <w:szCs w:val="20"/>
              </w:rPr>
              <w:br/>
              <w:t xml:space="preserve">There is poor spatial access to referral centers/hospitals - estimates put over half the population at over 4 hours travel time to these facilities. </w:t>
            </w:r>
            <w:r w:rsidRPr="007675B1">
              <w:rPr>
                <w:rFonts w:ascii="Arial Narrow" w:hAnsi="Arial Narrow" w:cs="Arial"/>
                <w:sz w:val="20"/>
                <w:szCs w:val="20"/>
              </w:rPr>
              <w:br/>
            </w:r>
            <w:r w:rsidRPr="007675B1">
              <w:rPr>
                <w:rFonts w:ascii="Arial Narrow" w:hAnsi="Arial Narrow" w:cs="Arial"/>
                <w:sz w:val="20"/>
                <w:szCs w:val="20"/>
              </w:rPr>
              <w:br/>
              <w:t>There is an uneven distribution of facility types, with private facilities concentrated around Lubumbashi.</w:t>
            </w:r>
          </w:p>
        </w:tc>
        <w:tc>
          <w:tcPr>
            <w:tcW w:w="1080" w:type="dxa"/>
          </w:tcPr>
          <w:p w14:paraId="0E77450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Geography/Transportation </w:t>
            </w:r>
          </w:p>
        </w:tc>
      </w:tr>
      <w:tr w:rsidR="004B1060" w:rsidRPr="007675B1" w14:paraId="58534CA3" w14:textId="77777777" w:rsidTr="004B1060">
        <w:tc>
          <w:tcPr>
            <w:tcW w:w="1075" w:type="dxa"/>
          </w:tcPr>
          <w:p w14:paraId="4615538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Health facility readiness and provider knowledge as correlates of adequate diagnosis and management of preeclampsia in Kinshasa, Democratic Republic of Congo</w:t>
            </w:r>
          </w:p>
        </w:tc>
        <w:tc>
          <w:tcPr>
            <w:tcW w:w="720" w:type="dxa"/>
          </w:tcPr>
          <w:p w14:paraId="3B315900"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Nkamba</w:t>
            </w:r>
            <w:proofErr w:type="spellEnd"/>
            <w:r w:rsidRPr="007675B1">
              <w:rPr>
                <w:rFonts w:ascii="Arial Narrow" w:hAnsi="Arial Narrow" w:cs="Arial"/>
                <w:sz w:val="20"/>
                <w:szCs w:val="20"/>
              </w:rPr>
              <w:t xml:space="preserve"> et al., 2020</w:t>
            </w:r>
          </w:p>
        </w:tc>
        <w:tc>
          <w:tcPr>
            <w:tcW w:w="990" w:type="dxa"/>
          </w:tcPr>
          <w:p w14:paraId="6F30265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253CEE6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Kinshasa</w:t>
            </w:r>
          </w:p>
        </w:tc>
        <w:tc>
          <w:tcPr>
            <w:tcW w:w="630" w:type="dxa"/>
          </w:tcPr>
          <w:p w14:paraId="2D92511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Cross-sectional study</w:t>
            </w:r>
          </w:p>
        </w:tc>
        <w:tc>
          <w:tcPr>
            <w:tcW w:w="810" w:type="dxa"/>
          </w:tcPr>
          <w:p w14:paraId="613E96C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29</w:t>
            </w:r>
          </w:p>
        </w:tc>
        <w:tc>
          <w:tcPr>
            <w:tcW w:w="2160" w:type="dxa"/>
          </w:tcPr>
          <w:p w14:paraId="392A666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Facility Readiness:</w:t>
            </w:r>
            <w:r w:rsidRPr="007675B1">
              <w:rPr>
                <w:rFonts w:ascii="Arial Narrow" w:hAnsi="Arial Narrow" w:cs="Arial"/>
                <w:sz w:val="20"/>
                <w:szCs w:val="20"/>
              </w:rPr>
              <w:t xml:space="preserve"> Authors found provision of some supplies such as stethoscopes and blood pressure machines at all facilities studied.</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xml:space="preserve"> Providers demonstrated good knowledge of the diagnosis of pre-eclampsia. Severe pre-eclampsia was correctly diagnosed by 91.4% (95% CI, 86.5–94.6%) of providers.</w:t>
            </w:r>
          </w:p>
        </w:tc>
        <w:tc>
          <w:tcPr>
            <w:tcW w:w="3060" w:type="dxa"/>
          </w:tcPr>
          <w:p w14:paraId="2AA7FDD3"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Facility Readiness: </w:t>
            </w:r>
            <w:r w:rsidRPr="007675B1">
              <w:rPr>
                <w:rFonts w:ascii="Arial Narrow" w:hAnsi="Arial Narrow" w:cs="Arial"/>
                <w:sz w:val="20"/>
                <w:szCs w:val="20"/>
              </w:rPr>
              <w:t>Challenges included poor availability of supplies</w:t>
            </w:r>
            <w:r w:rsidRPr="007675B1">
              <w:rPr>
                <w:rFonts w:ascii="Arial Narrow" w:hAnsi="Arial Narrow" w:cs="Arial"/>
                <w:b/>
                <w:bCs/>
                <w:sz w:val="20"/>
                <w:szCs w:val="20"/>
              </w:rPr>
              <w:t xml:space="preserve"> </w:t>
            </w:r>
            <w:r w:rsidRPr="007675B1">
              <w:rPr>
                <w:rFonts w:ascii="Arial Narrow" w:hAnsi="Arial Narrow" w:cs="Arial"/>
                <w:sz w:val="20"/>
                <w:szCs w:val="20"/>
              </w:rPr>
              <w:t>to diagnose, prevent, and treat pre-eclampsia in Kinshasa. The median facility readiness score was 53.8%, corresponding with 7/13 commodities needed to manage pre-eclampsia present. Authors did not find any facilities with all commodities. Magnesium sulfate was available in 36.2% (95% CI, 24.6–49.6%) and calcium gluconate was available in 31.0% (95% CI, 20.2–44.4%) of facilities.</w:t>
            </w:r>
            <w:r w:rsidRPr="007675B1">
              <w:rPr>
                <w:rFonts w:ascii="Arial Narrow" w:hAnsi="Arial Narrow" w:cs="Arial"/>
                <w:sz w:val="20"/>
                <w:szCs w:val="20"/>
              </w:rPr>
              <w:br/>
            </w:r>
            <w:r w:rsidRPr="007675B1">
              <w:rPr>
                <w:rFonts w:ascii="Arial Narrow" w:hAnsi="Arial Narrow" w:cs="Arial"/>
                <w:sz w:val="20"/>
                <w:szCs w:val="20"/>
              </w:rPr>
              <w:br/>
              <w:t xml:space="preserve">Poor health commodity provision may be due to weak supply chains and conflicting guidelines, with the national list of essential medicines providing for magnesium sulfate only at hospitals and </w:t>
            </w:r>
            <w:proofErr w:type="spellStart"/>
            <w:r w:rsidRPr="007675B1">
              <w:rPr>
                <w:rFonts w:ascii="Arial Narrow" w:hAnsi="Arial Narrow" w:cs="Arial"/>
                <w:sz w:val="20"/>
                <w:szCs w:val="20"/>
              </w:rPr>
              <w:t>EmONC</w:t>
            </w:r>
            <w:proofErr w:type="spellEnd"/>
            <w:r w:rsidRPr="007675B1">
              <w:rPr>
                <w:rFonts w:ascii="Arial Narrow" w:hAnsi="Arial Narrow" w:cs="Arial"/>
                <w:sz w:val="20"/>
                <w:szCs w:val="20"/>
              </w:rPr>
              <w:t xml:space="preserve"> guidelines recommending it at hospitals and PHCs. As a result, patients usually </w:t>
            </w:r>
            <w:proofErr w:type="gramStart"/>
            <w:r w:rsidRPr="007675B1">
              <w:rPr>
                <w:rFonts w:ascii="Arial Narrow" w:hAnsi="Arial Narrow" w:cs="Arial"/>
                <w:sz w:val="20"/>
                <w:szCs w:val="20"/>
              </w:rPr>
              <w:t>have to</w:t>
            </w:r>
            <w:proofErr w:type="gramEnd"/>
            <w:r w:rsidRPr="007675B1">
              <w:rPr>
                <w:rFonts w:ascii="Arial Narrow" w:hAnsi="Arial Narrow" w:cs="Arial"/>
                <w:sz w:val="20"/>
                <w:szCs w:val="20"/>
              </w:rPr>
              <w:t xml:space="preserve"> buy drugs, which can result in delay and worsen pregnancy outcomes. </w:t>
            </w:r>
            <w:r w:rsidRPr="007675B1">
              <w:rPr>
                <w:rFonts w:ascii="Arial Narrow" w:hAnsi="Arial Narrow" w:cs="Arial"/>
                <w:sz w:val="20"/>
                <w:szCs w:val="20"/>
              </w:rPr>
              <w:br/>
            </w:r>
            <w:r w:rsidRPr="007675B1">
              <w:rPr>
                <w:rFonts w:ascii="Arial Narrow" w:hAnsi="Arial Narrow" w:cs="Arial"/>
                <w:sz w:val="20"/>
                <w:szCs w:val="20"/>
              </w:rPr>
              <w:br/>
              <w:t>Readiness was higher (but not significantly so) at public versus private facilities and facilities receiving commodities from NGOs or government. Hospitals had significantly higher readiness scores than OPHCs.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HRH: </w:t>
            </w:r>
            <w:r w:rsidRPr="007675B1">
              <w:rPr>
                <w:rFonts w:ascii="Arial Narrow" w:hAnsi="Arial Narrow" w:cs="Arial"/>
                <w:sz w:val="20"/>
                <w:szCs w:val="20"/>
              </w:rPr>
              <w:t>The study found providers have poor</w:t>
            </w:r>
            <w:r w:rsidRPr="007675B1">
              <w:rPr>
                <w:rFonts w:ascii="Arial Narrow" w:hAnsi="Arial Narrow" w:cs="Arial"/>
                <w:sz w:val="20"/>
                <w:szCs w:val="20"/>
              </w:rPr>
              <w:br/>
              <w:t>knowledge regarding pre-eclampsia prevention and management. Authors identified the need to strengthen provider knowledge of there-eclampsia prevention and management.</w:t>
            </w:r>
            <w:r w:rsidRPr="007675B1">
              <w:rPr>
                <w:rFonts w:ascii="Arial Narrow" w:hAnsi="Arial Narrow" w:cs="Arial"/>
                <w:sz w:val="20"/>
                <w:szCs w:val="20"/>
              </w:rPr>
              <w:br/>
            </w:r>
            <w:r w:rsidRPr="007675B1">
              <w:rPr>
                <w:rFonts w:ascii="Arial Narrow" w:hAnsi="Arial Narrow" w:cs="Arial"/>
                <w:sz w:val="20"/>
                <w:szCs w:val="20"/>
              </w:rPr>
              <w:br/>
              <w:t xml:space="preserve">Midwives in public facilities were more knowledgeable than those in private facilities. One possible explanation is confounding by facility type, as most midwives included in public facilities were </w:t>
            </w:r>
            <w:r w:rsidRPr="007675B1">
              <w:rPr>
                <w:rFonts w:ascii="Arial Narrow" w:hAnsi="Arial Narrow" w:cs="Arial"/>
                <w:sz w:val="20"/>
                <w:szCs w:val="20"/>
              </w:rPr>
              <w:lastRenderedPageBreak/>
              <w:t>from hospitals while most in private facilities were from PHCs. Also, more providers in public facilities than in private facilities received in-service training on HDP.</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w:t>
            </w:r>
            <w:r w:rsidRPr="007675B1">
              <w:rPr>
                <w:rFonts w:ascii="Arial Narrow" w:hAnsi="Arial Narrow" w:cs="Arial"/>
                <w:sz w:val="20"/>
                <w:szCs w:val="20"/>
              </w:rPr>
              <w:t>: Due to transportation issues, PHCs faced challenges in referring pre-eclamptic women to hospitals. Under 1/5 of facilities had an ambulance, though hospitals were significantly more likely to have an ambulance on their grounds than PHCs. The availability of ambulances at the hospital-level is still low (53.6%).</w:t>
            </w:r>
          </w:p>
        </w:tc>
        <w:tc>
          <w:tcPr>
            <w:tcW w:w="1080" w:type="dxa"/>
          </w:tcPr>
          <w:p w14:paraId="09C1512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 xml:space="preserve">Facility Readiness, HRH, Geography/Transportation, </w:t>
            </w:r>
          </w:p>
        </w:tc>
      </w:tr>
      <w:tr w:rsidR="004B1060" w:rsidRPr="007675B1" w14:paraId="1C1945CE" w14:textId="77777777" w:rsidTr="004B1060">
        <w:tc>
          <w:tcPr>
            <w:tcW w:w="1075" w:type="dxa"/>
          </w:tcPr>
          <w:p w14:paraId="0EAFF2A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Role of district health management teams in child health strategies</w:t>
            </w:r>
          </w:p>
        </w:tc>
        <w:tc>
          <w:tcPr>
            <w:tcW w:w="720" w:type="dxa"/>
          </w:tcPr>
          <w:p w14:paraId="0EFC46D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Doherty et al., 2018</w:t>
            </w:r>
          </w:p>
        </w:tc>
        <w:tc>
          <w:tcPr>
            <w:tcW w:w="990" w:type="dxa"/>
          </w:tcPr>
          <w:p w14:paraId="7F37321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038AC50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Multi-country</w:t>
            </w:r>
          </w:p>
        </w:tc>
        <w:tc>
          <w:tcPr>
            <w:tcW w:w="630" w:type="dxa"/>
          </w:tcPr>
          <w:p w14:paraId="7DB64BE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Strategic review</w:t>
            </w:r>
          </w:p>
        </w:tc>
        <w:tc>
          <w:tcPr>
            <w:tcW w:w="810" w:type="dxa"/>
          </w:tcPr>
          <w:p w14:paraId="5589CD8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14</w:t>
            </w:r>
          </w:p>
        </w:tc>
        <w:tc>
          <w:tcPr>
            <w:tcW w:w="2160" w:type="dxa"/>
          </w:tcPr>
          <w:p w14:paraId="229DB4E4"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Governance</w:t>
            </w:r>
            <w:r w:rsidRPr="007675B1">
              <w:rPr>
                <w:rFonts w:ascii="Arial Narrow" w:hAnsi="Arial Narrow" w:cs="Arial"/>
                <w:sz w:val="20"/>
                <w:szCs w:val="20"/>
              </w:rPr>
              <w:t>: The DRC's decentralize approach improved service delivery through technical assistance and coaching to district management teams as part of the performance-based financing system.</w:t>
            </w:r>
          </w:p>
        </w:tc>
        <w:tc>
          <w:tcPr>
            <w:tcW w:w="3060" w:type="dxa"/>
          </w:tcPr>
          <w:p w14:paraId="17315F4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Facility Readiness: </w:t>
            </w:r>
            <w:r w:rsidRPr="007675B1">
              <w:rPr>
                <w:rFonts w:ascii="Arial Narrow" w:hAnsi="Arial Narrow" w:cs="Arial"/>
                <w:sz w:val="20"/>
                <w:szCs w:val="20"/>
              </w:rPr>
              <w:t>The DRC country assessment found that medicine stock-outs and lack of supplies hindered ICMI efforts.</w:t>
            </w:r>
            <w:r w:rsidRPr="007675B1">
              <w:rPr>
                <w:rFonts w:ascii="Arial Narrow" w:hAnsi="Arial Narrow" w:cs="Arial"/>
                <w:b/>
                <w:bCs/>
                <w:sz w:val="20"/>
                <w:szCs w:val="20"/>
              </w:rPr>
              <w:br/>
            </w:r>
            <w:r w:rsidRPr="007675B1">
              <w:rPr>
                <w:rFonts w:ascii="Arial Narrow" w:hAnsi="Arial Narrow" w:cs="Arial"/>
                <w:b/>
                <w:bCs/>
                <w:sz w:val="20"/>
                <w:szCs w:val="20"/>
              </w:rPr>
              <w:br/>
              <w:t xml:space="preserve">HRH: </w:t>
            </w:r>
            <w:r w:rsidRPr="007675B1">
              <w:rPr>
                <w:rFonts w:ascii="Arial Narrow" w:hAnsi="Arial Narrow" w:cs="Arial"/>
                <w:sz w:val="20"/>
                <w:szCs w:val="20"/>
              </w:rPr>
              <w:t>There is limited availability of skilled healthcare professionals. Having a mobile workforce is a challenge.</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Governance: </w:t>
            </w:r>
            <w:r w:rsidRPr="007675B1">
              <w:rPr>
                <w:rFonts w:ascii="Arial Narrow" w:hAnsi="Arial Narrow" w:cs="Arial"/>
                <w:sz w:val="20"/>
                <w:szCs w:val="20"/>
              </w:rPr>
              <w:t xml:space="preserve">Vertical programs and a plethora of stakeholders can hinder horizontal efforts like Integrated Management of Childhood Illness (IMCI). Management teams </w:t>
            </w:r>
            <w:proofErr w:type="gramStart"/>
            <w:r w:rsidRPr="007675B1">
              <w:rPr>
                <w:rFonts w:ascii="Arial Narrow" w:hAnsi="Arial Narrow" w:cs="Arial"/>
                <w:sz w:val="20"/>
                <w:szCs w:val="20"/>
              </w:rPr>
              <w:t>have to</w:t>
            </w:r>
            <w:proofErr w:type="gramEnd"/>
            <w:r w:rsidRPr="007675B1">
              <w:rPr>
                <w:rFonts w:ascii="Arial Narrow" w:hAnsi="Arial Narrow" w:cs="Arial"/>
                <w:sz w:val="20"/>
                <w:szCs w:val="20"/>
              </w:rPr>
              <w:t xml:space="preserve"> navigate competing priorities, differential funding levels, and varied reporting requirements across program areas.</w:t>
            </w:r>
            <w:r w:rsidRPr="007675B1">
              <w:rPr>
                <w:rFonts w:ascii="Arial Narrow" w:hAnsi="Arial Narrow" w:cs="Arial"/>
                <w:sz w:val="20"/>
                <w:szCs w:val="20"/>
              </w:rPr>
              <w:br/>
            </w:r>
            <w:r w:rsidRPr="007675B1">
              <w:rPr>
                <w:rFonts w:ascii="Arial Narrow" w:hAnsi="Arial Narrow" w:cs="Arial"/>
                <w:sz w:val="20"/>
                <w:szCs w:val="20"/>
              </w:rPr>
              <w:br/>
              <w:t>Inconsistent funding and poor coordination are obstacles.</w:t>
            </w:r>
          </w:p>
        </w:tc>
        <w:tc>
          <w:tcPr>
            <w:tcW w:w="1080" w:type="dxa"/>
          </w:tcPr>
          <w:p w14:paraId="5C21E9F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Governance</w:t>
            </w:r>
          </w:p>
        </w:tc>
      </w:tr>
      <w:tr w:rsidR="004B1060" w:rsidRPr="007675B1" w14:paraId="4F0F76BD" w14:textId="77777777" w:rsidTr="004B1060">
        <w:tc>
          <w:tcPr>
            <w:tcW w:w="1075" w:type="dxa"/>
          </w:tcPr>
          <w:p w14:paraId="1097B59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Assessing the Accessibility and Healthcare Quality of Maternal and Child Health Services in Health Facilities of Kasai Province in the Democratic Republic of the Congo: A Cross-Sectional Study</w:t>
            </w:r>
          </w:p>
        </w:tc>
        <w:tc>
          <w:tcPr>
            <w:tcW w:w="720" w:type="dxa"/>
          </w:tcPr>
          <w:p w14:paraId="271E662E"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Ndela</w:t>
            </w:r>
            <w:proofErr w:type="spellEnd"/>
            <w:r w:rsidRPr="007675B1">
              <w:rPr>
                <w:rFonts w:ascii="Arial Narrow" w:hAnsi="Arial Narrow" w:cs="Arial"/>
                <w:sz w:val="20"/>
                <w:szCs w:val="20"/>
              </w:rPr>
              <w:t xml:space="preserve"> et al., 2021</w:t>
            </w:r>
          </w:p>
        </w:tc>
        <w:tc>
          <w:tcPr>
            <w:tcW w:w="990" w:type="dxa"/>
          </w:tcPr>
          <w:p w14:paraId="5442C40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20665DA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Kasai Province</w:t>
            </w:r>
          </w:p>
        </w:tc>
        <w:tc>
          <w:tcPr>
            <w:tcW w:w="630" w:type="dxa"/>
          </w:tcPr>
          <w:p w14:paraId="1223190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Cross-sectional survey using mixed methods</w:t>
            </w:r>
          </w:p>
        </w:tc>
        <w:tc>
          <w:tcPr>
            <w:tcW w:w="810" w:type="dxa"/>
          </w:tcPr>
          <w:p w14:paraId="6784AB3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31</w:t>
            </w:r>
          </w:p>
        </w:tc>
        <w:tc>
          <w:tcPr>
            <w:tcW w:w="2160" w:type="dxa"/>
          </w:tcPr>
          <w:p w14:paraId="67AA20B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Facility Readiness: </w:t>
            </w:r>
            <w:r w:rsidRPr="007675B1">
              <w:rPr>
                <w:rFonts w:ascii="Arial Narrow" w:hAnsi="Arial Narrow" w:cs="Arial"/>
                <w:sz w:val="20"/>
                <w:szCs w:val="20"/>
              </w:rPr>
              <w:t xml:space="preserve">Almost 95% of surveyed facilities had delivery and reporting tools (e.g. </w:t>
            </w:r>
            <w:proofErr w:type="spellStart"/>
            <w:r w:rsidRPr="007675B1">
              <w:rPr>
                <w:rFonts w:ascii="Arial Narrow" w:hAnsi="Arial Narrow" w:cs="Arial"/>
                <w:sz w:val="20"/>
                <w:szCs w:val="20"/>
              </w:rPr>
              <w:t>partograms</w:t>
            </w:r>
            <w:proofErr w:type="spellEnd"/>
            <w:r w:rsidRPr="007675B1">
              <w:rPr>
                <w:rFonts w:ascii="Arial Narrow" w:hAnsi="Arial Narrow" w:cs="Arial"/>
                <w:sz w:val="20"/>
                <w:szCs w:val="20"/>
              </w:rPr>
              <w:t xml:space="preserve">), though they were complete </w:t>
            </w:r>
            <w:proofErr w:type="gramStart"/>
            <w:r w:rsidRPr="007675B1">
              <w:rPr>
                <w:rFonts w:ascii="Arial Narrow" w:hAnsi="Arial Narrow" w:cs="Arial"/>
                <w:sz w:val="20"/>
                <w:szCs w:val="20"/>
              </w:rPr>
              <w:t>in  73.5</w:t>
            </w:r>
            <w:proofErr w:type="gramEnd"/>
            <w:r w:rsidRPr="007675B1">
              <w:rPr>
                <w:rFonts w:ascii="Arial Narrow" w:hAnsi="Arial Narrow" w:cs="Arial"/>
                <w:sz w:val="20"/>
                <w:szCs w:val="20"/>
              </w:rPr>
              <w:t>% of facilities and updated/maintained in 74.3%.</w:t>
            </w:r>
          </w:p>
        </w:tc>
        <w:tc>
          <w:tcPr>
            <w:tcW w:w="3060" w:type="dxa"/>
          </w:tcPr>
          <w:p w14:paraId="04B71436"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Geography: </w:t>
            </w:r>
            <w:r w:rsidRPr="007675B1">
              <w:rPr>
                <w:rFonts w:ascii="Arial Narrow" w:hAnsi="Arial Narrow" w:cs="Arial"/>
                <w:sz w:val="20"/>
                <w:szCs w:val="20"/>
              </w:rPr>
              <w:t xml:space="preserve">There is a lack of access to quality MNCH healthcare services in Kasai Province due to facility distance - under 54% of the surveyed population had geographic access to MNCH services. Approximately half the population lived over 5 km away from the nearest health facility or faced physical obstacle (e.g., rivers, </w:t>
            </w:r>
            <w:proofErr w:type="gramStart"/>
            <w:r w:rsidRPr="007675B1">
              <w:rPr>
                <w:rFonts w:ascii="Arial Narrow" w:hAnsi="Arial Narrow" w:cs="Arial"/>
                <w:sz w:val="20"/>
                <w:szCs w:val="20"/>
              </w:rPr>
              <w:t>mountains)  which</w:t>
            </w:r>
            <w:proofErr w:type="gramEnd"/>
            <w:r w:rsidRPr="007675B1">
              <w:rPr>
                <w:rFonts w:ascii="Arial Narrow" w:hAnsi="Arial Narrow" w:cs="Arial"/>
                <w:sz w:val="20"/>
                <w:szCs w:val="20"/>
              </w:rPr>
              <w:t xml:space="preserve"> made the  commute over an hour on foot.</w:t>
            </w:r>
            <w:r w:rsidRPr="007675B1">
              <w:rPr>
                <w:rFonts w:ascii="Arial Narrow" w:hAnsi="Arial Narrow" w:cs="Arial"/>
                <w:b/>
                <w:bCs/>
                <w:sz w:val="20"/>
                <w:szCs w:val="20"/>
              </w:rPr>
              <w:br/>
            </w:r>
            <w:r w:rsidRPr="007675B1">
              <w:rPr>
                <w:rFonts w:ascii="Arial Narrow" w:hAnsi="Arial Narrow" w:cs="Arial"/>
                <w:b/>
                <w:bCs/>
                <w:sz w:val="20"/>
                <w:szCs w:val="20"/>
              </w:rPr>
              <w:br/>
              <w:t xml:space="preserve">Facility Readiness: </w:t>
            </w:r>
            <w:r w:rsidRPr="007675B1">
              <w:rPr>
                <w:rFonts w:ascii="Arial Narrow" w:hAnsi="Arial Narrow" w:cs="Arial"/>
                <w:sz w:val="20"/>
                <w:szCs w:val="20"/>
              </w:rPr>
              <w:t>Health facilities in the Kasai Province were inadequate and lack basic resources, such as drugs and medical equipment.  70% to 90% of the surveyed facilities did not have minimum equipment or healthcare materials for RMNCH services.</w:t>
            </w:r>
            <w:r w:rsidRPr="007675B1">
              <w:rPr>
                <w:rFonts w:ascii="Arial Narrow" w:hAnsi="Arial Narrow" w:cs="Arial"/>
                <w:sz w:val="20"/>
                <w:szCs w:val="20"/>
              </w:rPr>
              <w:br/>
            </w:r>
            <w:r w:rsidRPr="007675B1">
              <w:rPr>
                <w:rFonts w:ascii="Arial Narrow" w:hAnsi="Arial Narrow" w:cs="Arial"/>
                <w:sz w:val="20"/>
                <w:szCs w:val="20"/>
              </w:rPr>
              <w:br/>
              <w:t xml:space="preserve">Only 1/3 of surveyed facilities had infrastructures for RMNCH services (e.g., delivery room, examining table, safe </w:t>
            </w:r>
            <w:r w:rsidRPr="007675B1">
              <w:rPr>
                <w:rFonts w:ascii="Arial Narrow" w:hAnsi="Arial Narrow" w:cs="Arial"/>
                <w:sz w:val="20"/>
                <w:szCs w:val="20"/>
              </w:rPr>
              <w:lastRenderedPageBreak/>
              <w:t>water source, emergency cesarean section room, etc.). Approximately 80% of the health facilities' infrastructures were unsustainable, as they did not have 11 or more RMNCH services.</w:t>
            </w:r>
            <w:r w:rsidRPr="007675B1">
              <w:rPr>
                <w:rFonts w:ascii="Arial Narrow" w:hAnsi="Arial Narrow" w:cs="Arial"/>
                <w:sz w:val="20"/>
                <w:szCs w:val="20"/>
              </w:rPr>
              <w:br/>
            </w:r>
            <w:r w:rsidRPr="007675B1">
              <w:rPr>
                <w:rFonts w:ascii="Arial Narrow" w:hAnsi="Arial Narrow" w:cs="Arial"/>
                <w:b/>
                <w:bCs/>
                <w:sz w:val="20"/>
                <w:szCs w:val="20"/>
              </w:rPr>
              <w:br/>
              <w:t xml:space="preserve">HRH: </w:t>
            </w:r>
            <w:r w:rsidRPr="007675B1">
              <w:rPr>
                <w:rFonts w:ascii="Arial Narrow" w:hAnsi="Arial Narrow" w:cs="Arial"/>
                <w:sz w:val="20"/>
                <w:szCs w:val="20"/>
              </w:rPr>
              <w:t xml:space="preserve">The existing health services are not adequately staffed, and there is a shortage of skilled health professionals in most surveyed facilities. </w:t>
            </w:r>
            <w:r w:rsidRPr="007675B1">
              <w:rPr>
                <w:rFonts w:ascii="Arial Narrow" w:hAnsi="Arial Narrow" w:cs="Arial"/>
                <w:b/>
                <w:bCs/>
                <w:sz w:val="20"/>
                <w:szCs w:val="20"/>
              </w:rPr>
              <w:br/>
            </w:r>
            <w:r w:rsidRPr="007675B1">
              <w:rPr>
                <w:rFonts w:ascii="Arial Narrow" w:hAnsi="Arial Narrow" w:cs="Arial"/>
                <w:sz w:val="20"/>
                <w:szCs w:val="20"/>
              </w:rPr>
              <w:br/>
              <w:t xml:space="preserve">Approximately half of healthcare providers were low skilled (nurses’ level A2). 18% of providers were trained in RMNCH services.  14% </w:t>
            </w:r>
            <w:proofErr w:type="gramStart"/>
            <w:r w:rsidRPr="007675B1">
              <w:rPr>
                <w:rFonts w:ascii="Arial Narrow" w:hAnsi="Arial Narrow" w:cs="Arial"/>
                <w:sz w:val="20"/>
                <w:szCs w:val="20"/>
              </w:rPr>
              <w:t>of  skilled</w:t>
            </w:r>
            <w:proofErr w:type="gramEnd"/>
            <w:r w:rsidRPr="007675B1">
              <w:rPr>
                <w:rFonts w:ascii="Arial Narrow" w:hAnsi="Arial Narrow" w:cs="Arial"/>
                <w:sz w:val="20"/>
                <w:szCs w:val="20"/>
              </w:rPr>
              <w:t xml:space="preserve"> nurses (nurses’ level A1) were also midwives.</w:t>
            </w:r>
            <w:r w:rsidRPr="007675B1">
              <w:rPr>
                <w:rFonts w:ascii="Arial Narrow" w:hAnsi="Arial Narrow" w:cs="Arial"/>
                <w:b/>
                <w:bCs/>
                <w:sz w:val="20"/>
                <w:szCs w:val="20"/>
              </w:rPr>
              <w:br/>
            </w:r>
            <w:r w:rsidRPr="007675B1">
              <w:rPr>
                <w:rFonts w:ascii="Arial Narrow" w:hAnsi="Arial Narrow" w:cs="Arial"/>
                <w:b/>
                <w:bCs/>
                <w:sz w:val="20"/>
                <w:szCs w:val="20"/>
              </w:rPr>
              <w:br/>
              <w:t xml:space="preserve">Financing: </w:t>
            </w:r>
            <w:r w:rsidRPr="007675B1">
              <w:rPr>
                <w:rFonts w:ascii="Arial Narrow" w:hAnsi="Arial Narrow" w:cs="Arial"/>
                <w:sz w:val="20"/>
                <w:szCs w:val="20"/>
              </w:rPr>
              <w:t>Authors calculated cost of services relative to daily wages, finding that services were unaffordable except admission costs and essential drugs.</w:t>
            </w:r>
          </w:p>
        </w:tc>
        <w:tc>
          <w:tcPr>
            <w:tcW w:w="1080" w:type="dxa"/>
          </w:tcPr>
          <w:p w14:paraId="7E8F006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Facility Readiness, HRH, Geography/</w:t>
            </w:r>
            <w:proofErr w:type="gramStart"/>
            <w:r w:rsidRPr="007675B1">
              <w:rPr>
                <w:rFonts w:ascii="Arial Narrow" w:hAnsi="Arial Narrow" w:cs="Arial"/>
                <w:sz w:val="20"/>
                <w:szCs w:val="20"/>
              </w:rPr>
              <w:t>Transportation,  Financing</w:t>
            </w:r>
            <w:proofErr w:type="gramEnd"/>
          </w:p>
        </w:tc>
      </w:tr>
      <w:tr w:rsidR="004B1060" w:rsidRPr="007675B1" w14:paraId="3419A096" w14:textId="77777777" w:rsidTr="004B1060">
        <w:tc>
          <w:tcPr>
            <w:tcW w:w="1075" w:type="dxa"/>
          </w:tcPr>
          <w:p w14:paraId="1F4B0C4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Community health workers in humanitarian settings: Scoping review</w:t>
            </w:r>
          </w:p>
        </w:tc>
        <w:tc>
          <w:tcPr>
            <w:tcW w:w="720" w:type="dxa"/>
          </w:tcPr>
          <w:p w14:paraId="1D239F1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Miller et al.,2020</w:t>
            </w:r>
          </w:p>
        </w:tc>
        <w:tc>
          <w:tcPr>
            <w:tcW w:w="990" w:type="dxa"/>
          </w:tcPr>
          <w:p w14:paraId="7A9A38B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097FF4F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Multi-country</w:t>
            </w:r>
          </w:p>
        </w:tc>
        <w:tc>
          <w:tcPr>
            <w:tcW w:w="630" w:type="dxa"/>
          </w:tcPr>
          <w:p w14:paraId="0CE5920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Scoping review</w:t>
            </w:r>
          </w:p>
        </w:tc>
        <w:tc>
          <w:tcPr>
            <w:tcW w:w="810" w:type="dxa"/>
          </w:tcPr>
          <w:p w14:paraId="5E20F34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30</w:t>
            </w:r>
          </w:p>
        </w:tc>
        <w:tc>
          <w:tcPr>
            <w:tcW w:w="2160" w:type="dxa"/>
          </w:tcPr>
          <w:p w14:paraId="31211274"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Authors recommend flexible funding to support immediate and longer-term health goals, particularly in conflict zones.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HRH: </w:t>
            </w:r>
            <w:r w:rsidRPr="007675B1">
              <w:rPr>
                <w:rFonts w:ascii="Arial Narrow" w:hAnsi="Arial Narrow" w:cs="Arial"/>
                <w:sz w:val="20"/>
                <w:szCs w:val="20"/>
              </w:rPr>
              <w:t xml:space="preserve">CHWs can promote higher </w:t>
            </w:r>
            <w:proofErr w:type="gramStart"/>
            <w:r w:rsidRPr="007675B1">
              <w:rPr>
                <w:rFonts w:ascii="Arial Narrow" w:hAnsi="Arial Narrow" w:cs="Arial"/>
                <w:sz w:val="20"/>
                <w:szCs w:val="20"/>
              </w:rPr>
              <w:t>trust  (</w:t>
            </w:r>
            <w:proofErr w:type="gramEnd"/>
            <w:r w:rsidRPr="007675B1">
              <w:rPr>
                <w:rFonts w:ascii="Arial Narrow" w:hAnsi="Arial Narrow" w:cs="Arial"/>
                <w:sz w:val="20"/>
                <w:szCs w:val="20"/>
              </w:rPr>
              <w:t xml:space="preserve">especially when local leaders were engaged and supportive) and have more access to the population during crisis and when travel is limited, enabling CHWs to delivery services and conduct care during acute crises. </w:t>
            </w:r>
            <w:r w:rsidRPr="007675B1">
              <w:rPr>
                <w:rFonts w:ascii="Arial Narrow" w:hAnsi="Arial Narrow" w:cs="Arial"/>
                <w:sz w:val="20"/>
                <w:szCs w:val="20"/>
              </w:rPr>
              <w:br/>
            </w:r>
            <w:r w:rsidRPr="007675B1">
              <w:rPr>
                <w:rFonts w:ascii="Arial Narrow" w:hAnsi="Arial Narrow" w:cs="Arial"/>
                <w:sz w:val="20"/>
                <w:szCs w:val="20"/>
              </w:rPr>
              <w:br/>
              <w:t>Mobile technology was used when travel was restricted to continue data collection and supervision activities. Using local supervisors also facilitated continuous supervision.</w:t>
            </w:r>
            <w:r w:rsidRPr="007675B1">
              <w:rPr>
                <w:rFonts w:ascii="Arial Narrow" w:hAnsi="Arial Narrow" w:cs="Arial"/>
                <w:sz w:val="20"/>
                <w:szCs w:val="20"/>
              </w:rPr>
              <w:br/>
            </w:r>
            <w:r w:rsidRPr="007675B1">
              <w:rPr>
                <w:rFonts w:ascii="Arial Narrow" w:hAnsi="Arial Narrow" w:cs="Arial"/>
                <w:sz w:val="20"/>
                <w:szCs w:val="20"/>
              </w:rPr>
              <w:br/>
              <w:t xml:space="preserve">Financial compensation was important for motivation and retention. Community acceptance and appreciation of services and the CHW's desire to help communities were motivating factors for retention.  </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Facility Readiness:</w:t>
            </w:r>
            <w:r w:rsidRPr="007675B1">
              <w:rPr>
                <w:rFonts w:ascii="Arial Narrow" w:hAnsi="Arial Narrow" w:cs="Arial"/>
                <w:sz w:val="20"/>
                <w:szCs w:val="20"/>
              </w:rPr>
              <w:t xml:space="preserve"> Authors </w:t>
            </w:r>
            <w:r w:rsidRPr="007675B1">
              <w:rPr>
                <w:rFonts w:ascii="Arial Narrow" w:hAnsi="Arial Narrow" w:cs="Arial"/>
                <w:sz w:val="20"/>
                <w:szCs w:val="20"/>
              </w:rPr>
              <w:lastRenderedPageBreak/>
              <w:t>recommend parallel supply chains, buffer stocks, decentralized commodity storage.</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xml:space="preserve">: Clear and consistent political support for MNCH services improves service coverage and delivery </w:t>
            </w:r>
          </w:p>
        </w:tc>
        <w:tc>
          <w:tcPr>
            <w:tcW w:w="3060" w:type="dxa"/>
          </w:tcPr>
          <w:p w14:paraId="5CCDC00F"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lastRenderedPageBreak/>
              <w:t>Conflict</w:t>
            </w:r>
            <w:r w:rsidRPr="007675B1">
              <w:rPr>
                <w:rFonts w:ascii="Arial Narrow" w:hAnsi="Arial Narrow" w:cs="Arial"/>
                <w:sz w:val="20"/>
                <w:szCs w:val="20"/>
              </w:rPr>
              <w:t>: Conflict and insecurity can lead to population displacement and overwhelmed health facilities, travel barriers, security threats and trauma to CHWs, HRH shortages, disruptions to referral systems, and supply chain disruptions.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Geography/Transportation:</w:t>
            </w:r>
            <w:r w:rsidRPr="007675B1">
              <w:rPr>
                <w:rFonts w:ascii="Arial Narrow" w:hAnsi="Arial Narrow" w:cs="Arial"/>
                <w:sz w:val="20"/>
                <w:szCs w:val="20"/>
              </w:rPr>
              <w:t xml:space="preserve"> Referrals are hindered by long distances, transportation limitations, and the cost of transportation.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CHWs reported lack of renumeration, overwhelming responsibilities, discrimination, lack of incentives, seeking better paid/urban employment, and family opposition to deployment as reasons for leaving.</w:t>
            </w:r>
          </w:p>
        </w:tc>
        <w:tc>
          <w:tcPr>
            <w:tcW w:w="1080" w:type="dxa"/>
          </w:tcPr>
          <w:p w14:paraId="5C4DEA1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Geography/Transportation, Conflict, Financing. Governance</w:t>
            </w:r>
          </w:p>
        </w:tc>
      </w:tr>
      <w:tr w:rsidR="004B1060" w:rsidRPr="007675B1" w14:paraId="139FFFDC" w14:textId="77777777" w:rsidTr="004B1060">
        <w:tc>
          <w:tcPr>
            <w:tcW w:w="1075" w:type="dxa"/>
          </w:tcPr>
          <w:p w14:paraId="5632717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Contextual factors influencing a training intervention aimed at improved maternal and newborn healthcare in a health zone of the Democratic Republic of Congo</w:t>
            </w:r>
          </w:p>
        </w:tc>
        <w:tc>
          <w:tcPr>
            <w:tcW w:w="720" w:type="dxa"/>
          </w:tcPr>
          <w:p w14:paraId="68387777"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Bogren</w:t>
            </w:r>
            <w:proofErr w:type="spellEnd"/>
            <w:r w:rsidRPr="007675B1">
              <w:rPr>
                <w:rFonts w:ascii="Arial Narrow" w:hAnsi="Arial Narrow" w:cs="Arial"/>
                <w:sz w:val="20"/>
                <w:szCs w:val="20"/>
              </w:rPr>
              <w:t xml:space="preserve"> et al., 2021</w:t>
            </w:r>
          </w:p>
        </w:tc>
        <w:tc>
          <w:tcPr>
            <w:tcW w:w="990" w:type="dxa"/>
          </w:tcPr>
          <w:p w14:paraId="594BECC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50C7018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National</w:t>
            </w:r>
          </w:p>
        </w:tc>
        <w:tc>
          <w:tcPr>
            <w:tcW w:w="630" w:type="dxa"/>
          </w:tcPr>
          <w:p w14:paraId="7D93831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Qualitative research design </w:t>
            </w:r>
          </w:p>
        </w:tc>
        <w:tc>
          <w:tcPr>
            <w:tcW w:w="810" w:type="dxa"/>
          </w:tcPr>
          <w:p w14:paraId="1F18254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30</w:t>
            </w:r>
          </w:p>
        </w:tc>
        <w:tc>
          <w:tcPr>
            <w:tcW w:w="2160" w:type="dxa"/>
          </w:tcPr>
          <w:p w14:paraId="7C59EEA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w:t>
            </w:r>
            <w:r w:rsidRPr="007675B1">
              <w:rPr>
                <w:rFonts w:ascii="Arial Narrow" w:hAnsi="Arial Narrow" w:cs="Arial"/>
                <w:sz w:val="20"/>
                <w:szCs w:val="20"/>
              </w:rPr>
              <w:t xml:space="preserve"> The presence of midwives is a facilitator of service availability.</w:t>
            </w:r>
            <w:r w:rsidRPr="007675B1">
              <w:rPr>
                <w:rFonts w:ascii="Arial Narrow" w:hAnsi="Arial Narrow" w:cs="Arial"/>
                <w:sz w:val="20"/>
                <w:szCs w:val="20"/>
              </w:rPr>
              <w:br/>
            </w:r>
            <w:r w:rsidRPr="007675B1">
              <w:rPr>
                <w:rFonts w:ascii="Arial Narrow" w:hAnsi="Arial Narrow" w:cs="Arial"/>
                <w:sz w:val="20"/>
                <w:szCs w:val="20"/>
              </w:rPr>
              <w:br/>
              <w:t>Motivators for health professionals to participate in training include monetary incentives, the opportunity to gain new skills and knowledge, and patients' use and positive perception of services.</w:t>
            </w:r>
            <w:r w:rsidRPr="007675B1">
              <w:rPr>
                <w:rFonts w:ascii="Arial Narrow" w:hAnsi="Arial Narrow" w:cs="Arial"/>
                <w:sz w:val="20"/>
                <w:szCs w:val="20"/>
              </w:rPr>
              <w:br/>
            </w:r>
            <w:r w:rsidRPr="007675B1">
              <w:rPr>
                <w:rFonts w:ascii="Arial Narrow" w:hAnsi="Arial Narrow" w:cs="Arial"/>
                <w:b/>
                <w:bCs/>
                <w:sz w:val="20"/>
                <w:szCs w:val="20"/>
              </w:rPr>
              <w:br/>
              <w:t>Facility Readiness:</w:t>
            </w:r>
            <w:r w:rsidRPr="007675B1">
              <w:rPr>
                <w:rFonts w:ascii="Arial Narrow" w:hAnsi="Arial Narrow" w:cs="Arial"/>
                <w:sz w:val="20"/>
                <w:szCs w:val="20"/>
              </w:rPr>
              <w:t xml:space="preserve"> Facilitators include availability of delivery rooms, availability of delivery beds, electricity, and availability of obstetric equipment. </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xml:space="preserve">: Involvement of local health zone </w:t>
            </w:r>
            <w:proofErr w:type="gramStart"/>
            <w:r w:rsidRPr="007675B1">
              <w:rPr>
                <w:rFonts w:ascii="Arial Narrow" w:hAnsi="Arial Narrow" w:cs="Arial"/>
                <w:sz w:val="20"/>
                <w:szCs w:val="20"/>
              </w:rPr>
              <w:t>authorities  (</w:t>
            </w:r>
            <w:proofErr w:type="gramEnd"/>
            <w:r w:rsidRPr="007675B1">
              <w:rPr>
                <w:rFonts w:ascii="Arial Narrow" w:hAnsi="Arial Narrow" w:cs="Arial"/>
                <w:sz w:val="20"/>
                <w:szCs w:val="20"/>
              </w:rPr>
              <w:t>e.g., health inspectors) improved implementation of the training by encouraging facilities to incorporate training into their schedules.</w:t>
            </w:r>
          </w:p>
        </w:tc>
        <w:tc>
          <w:tcPr>
            <w:tcW w:w="3060" w:type="dxa"/>
          </w:tcPr>
          <w:p w14:paraId="2126484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HRH: </w:t>
            </w:r>
            <w:r w:rsidRPr="007675B1">
              <w:rPr>
                <w:rFonts w:ascii="Arial Narrow" w:hAnsi="Arial Narrow" w:cs="Arial"/>
                <w:sz w:val="20"/>
                <w:szCs w:val="20"/>
              </w:rPr>
              <w:t xml:space="preserve"> HRH challenges included lack of evidence-based knowledge about MNCH among health workers, limited human resources and skills. Healthcare professionals identified a lack of opportunity for training, especially from the public sector.</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Facility Readiness: </w:t>
            </w:r>
            <w:r w:rsidRPr="007675B1">
              <w:rPr>
                <w:rFonts w:ascii="Arial Narrow" w:hAnsi="Arial Narrow" w:cs="Arial"/>
                <w:sz w:val="20"/>
                <w:szCs w:val="20"/>
              </w:rPr>
              <w:t>Barriers to implementing the HRH training included inadequate physical space in maternity wards, weak infrastructure (e.g. electricity), and lack of equipment at facilities.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Financing</w:t>
            </w:r>
            <w:r w:rsidRPr="007675B1">
              <w:rPr>
                <w:rFonts w:ascii="Arial Narrow" w:hAnsi="Arial Narrow" w:cs="Arial"/>
                <w:sz w:val="20"/>
                <w:szCs w:val="20"/>
              </w:rPr>
              <w:t>: Motivation was lower among health professionals who's monetary incentives had stopped than those who had never received money - indicating a potential pitfall of donor-funded projects without sustained funding.</w:t>
            </w:r>
          </w:p>
        </w:tc>
        <w:tc>
          <w:tcPr>
            <w:tcW w:w="1080" w:type="dxa"/>
          </w:tcPr>
          <w:p w14:paraId="54B089B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HRH, Geography/Transportation Financing, Governance</w:t>
            </w:r>
          </w:p>
        </w:tc>
      </w:tr>
      <w:tr w:rsidR="004B1060" w:rsidRPr="007675B1" w14:paraId="4DD31958" w14:textId="77777777" w:rsidTr="004B1060">
        <w:tc>
          <w:tcPr>
            <w:tcW w:w="1075" w:type="dxa"/>
          </w:tcPr>
          <w:p w14:paraId="7C274E3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Using a human resource management approach to support community health workers: experiences from five African countries</w:t>
            </w:r>
          </w:p>
        </w:tc>
        <w:tc>
          <w:tcPr>
            <w:tcW w:w="720" w:type="dxa"/>
          </w:tcPr>
          <w:p w14:paraId="0AF1B0F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Raven et al., 2015</w:t>
            </w:r>
          </w:p>
        </w:tc>
        <w:tc>
          <w:tcPr>
            <w:tcW w:w="990" w:type="dxa"/>
          </w:tcPr>
          <w:p w14:paraId="751F952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57AAD330"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DRC</w:t>
            </w:r>
            <w:r w:rsidRPr="007675B1">
              <w:rPr>
                <w:rFonts w:ascii="Arial Narrow" w:hAnsi="Arial Narrow" w:cs="Arial"/>
                <w:sz w:val="20"/>
                <w:szCs w:val="20"/>
              </w:rPr>
              <w:t xml:space="preserve">, Ghana, Senegal, </w:t>
            </w:r>
            <w:proofErr w:type="gramStart"/>
            <w:r w:rsidRPr="007675B1">
              <w:rPr>
                <w:rFonts w:ascii="Arial Narrow" w:hAnsi="Arial Narrow" w:cs="Arial"/>
                <w:sz w:val="20"/>
                <w:szCs w:val="20"/>
              </w:rPr>
              <w:t>Uganda</w:t>
            </w:r>
            <w:proofErr w:type="gramEnd"/>
            <w:r w:rsidRPr="007675B1">
              <w:rPr>
                <w:rFonts w:ascii="Arial Narrow" w:hAnsi="Arial Narrow" w:cs="Arial"/>
                <w:sz w:val="20"/>
                <w:szCs w:val="20"/>
              </w:rPr>
              <w:t xml:space="preserve"> and Zimbabwe </w:t>
            </w:r>
          </w:p>
        </w:tc>
        <w:tc>
          <w:tcPr>
            <w:tcW w:w="630" w:type="dxa"/>
          </w:tcPr>
          <w:p w14:paraId="4F74AB6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Exploratory case studies</w:t>
            </w:r>
          </w:p>
        </w:tc>
        <w:tc>
          <w:tcPr>
            <w:tcW w:w="810" w:type="dxa"/>
          </w:tcPr>
          <w:p w14:paraId="49DFAB5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26</w:t>
            </w:r>
          </w:p>
        </w:tc>
        <w:tc>
          <w:tcPr>
            <w:tcW w:w="2160" w:type="dxa"/>
          </w:tcPr>
          <w:p w14:paraId="24BDE3A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HRH: </w:t>
            </w:r>
            <w:r w:rsidRPr="007675B1">
              <w:rPr>
                <w:rFonts w:ascii="Arial Narrow" w:hAnsi="Arial Narrow" w:cs="Arial"/>
                <w:sz w:val="20"/>
                <w:szCs w:val="20"/>
              </w:rPr>
              <w:t>Coordinated management approaches that integrate front-line supervisors, program managers, and community members can ensure CHW expectations and program goals are met. Supervision should include support with direction, professional development, and resources.</w:t>
            </w:r>
            <w:r w:rsidRPr="007675B1">
              <w:rPr>
                <w:rFonts w:ascii="Arial Narrow" w:hAnsi="Arial Narrow" w:cs="Arial"/>
                <w:sz w:val="20"/>
                <w:szCs w:val="20"/>
              </w:rPr>
              <w:br/>
            </w:r>
            <w:r w:rsidRPr="007675B1">
              <w:rPr>
                <w:rFonts w:ascii="Arial Narrow" w:hAnsi="Arial Narrow" w:cs="Arial"/>
                <w:sz w:val="20"/>
                <w:szCs w:val="20"/>
              </w:rPr>
              <w:br/>
              <w:t>Retention challenges may be fewer for locally hired CHWs.</w:t>
            </w:r>
            <w:r w:rsidRPr="007675B1">
              <w:rPr>
                <w:rFonts w:ascii="Arial Narrow" w:hAnsi="Arial Narrow" w:cs="Arial"/>
                <w:b/>
                <w:bCs/>
                <w:sz w:val="20"/>
                <w:szCs w:val="20"/>
              </w:rPr>
              <w:br/>
            </w:r>
            <w:r w:rsidRPr="007675B1">
              <w:rPr>
                <w:rFonts w:ascii="Arial Narrow" w:hAnsi="Arial Narrow" w:cs="Arial"/>
                <w:b/>
                <w:bCs/>
                <w:sz w:val="20"/>
                <w:szCs w:val="20"/>
              </w:rPr>
              <w:br/>
            </w:r>
            <w:r w:rsidRPr="007675B1">
              <w:rPr>
                <w:rFonts w:ascii="Arial Narrow" w:hAnsi="Arial Narrow" w:cs="Arial"/>
                <w:sz w:val="20"/>
                <w:szCs w:val="20"/>
              </w:rPr>
              <w:t xml:space="preserve">Aligning management with CHW goals and expectations is important in bolstering performance and retention. </w:t>
            </w:r>
            <w:r w:rsidRPr="007675B1">
              <w:rPr>
                <w:rFonts w:ascii="Arial Narrow" w:hAnsi="Arial Narrow" w:cs="Arial"/>
                <w:sz w:val="20"/>
                <w:szCs w:val="20"/>
              </w:rPr>
              <w:lastRenderedPageBreak/>
              <w:t>CHWs' expectations of their role are serving the community, enhancing their skills, receiving financial benefits, and balancing their CHW role with other responsibilities.</w:t>
            </w:r>
            <w:r w:rsidRPr="007675B1">
              <w:rPr>
                <w:rFonts w:ascii="Arial Narrow" w:hAnsi="Arial Narrow" w:cs="Arial"/>
                <w:sz w:val="20"/>
                <w:szCs w:val="20"/>
              </w:rPr>
              <w:br/>
            </w:r>
            <w:r w:rsidRPr="007675B1">
              <w:rPr>
                <w:rFonts w:ascii="Arial Narrow" w:hAnsi="Arial Narrow" w:cs="Arial"/>
                <w:sz w:val="20"/>
                <w:szCs w:val="20"/>
              </w:rPr>
              <w:br/>
              <w:t>CHWs can contribute to equitable distribution of health services, expand access to care for underserved populations, and build relationships with communities.</w:t>
            </w:r>
          </w:p>
        </w:tc>
        <w:tc>
          <w:tcPr>
            <w:tcW w:w="3060" w:type="dxa"/>
          </w:tcPr>
          <w:p w14:paraId="23D45C56"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lastRenderedPageBreak/>
              <w:t>HRH:</w:t>
            </w:r>
            <w:r w:rsidRPr="007675B1">
              <w:rPr>
                <w:rFonts w:ascii="Arial Narrow" w:hAnsi="Arial Narrow" w:cs="Arial"/>
                <w:sz w:val="20"/>
                <w:szCs w:val="20"/>
              </w:rPr>
              <w:t xml:space="preserve"> CHW management does not consistently meet CHW expectations, hindering recruitment, retention, and performance.</w:t>
            </w:r>
            <w:r w:rsidRPr="007675B1">
              <w:rPr>
                <w:rFonts w:ascii="Arial Narrow" w:hAnsi="Arial Narrow" w:cs="Arial"/>
                <w:sz w:val="20"/>
                <w:szCs w:val="20"/>
              </w:rPr>
              <w:br/>
            </w:r>
            <w:r w:rsidRPr="007675B1">
              <w:rPr>
                <w:rFonts w:ascii="Arial Narrow" w:hAnsi="Arial Narrow" w:cs="Arial"/>
                <w:sz w:val="20"/>
                <w:szCs w:val="20"/>
              </w:rPr>
              <w:br/>
              <w:t>Supervision for informal or volunteer CHWs presents a unique set of challenges. In the absence of salaries, managers/supervisors relay on rewards rather than penalties.</w:t>
            </w:r>
            <w:r w:rsidRPr="007675B1">
              <w:rPr>
                <w:rFonts w:ascii="Arial Narrow" w:hAnsi="Arial Narrow" w:cs="Arial"/>
                <w:sz w:val="20"/>
                <w:szCs w:val="20"/>
              </w:rPr>
              <w:br/>
            </w:r>
            <w:r w:rsidRPr="007675B1">
              <w:rPr>
                <w:rFonts w:ascii="Arial Narrow" w:hAnsi="Arial Narrow" w:cs="Arial"/>
                <w:sz w:val="20"/>
                <w:szCs w:val="20"/>
              </w:rPr>
              <w:br/>
              <w:t xml:space="preserve">Recruitment and retention were impacted by unmet expectations. Salary, stipend, and compensation expectations were rarely met. CHWs were not always valued by their communities or health facility staff, despite expectations to the contrary. CHWs noted training should be more </w:t>
            </w:r>
            <w:r w:rsidRPr="007675B1">
              <w:rPr>
                <w:rFonts w:ascii="Arial Narrow" w:hAnsi="Arial Narrow" w:cs="Arial"/>
                <w:sz w:val="20"/>
                <w:szCs w:val="20"/>
              </w:rPr>
              <w:lastRenderedPageBreak/>
              <w:t>frequent to meet skill and knowledge expectations.</w:t>
            </w:r>
          </w:p>
        </w:tc>
        <w:tc>
          <w:tcPr>
            <w:tcW w:w="1080" w:type="dxa"/>
          </w:tcPr>
          <w:p w14:paraId="24E705B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HRH</w:t>
            </w:r>
          </w:p>
        </w:tc>
      </w:tr>
      <w:tr w:rsidR="004B1060" w:rsidRPr="007675B1" w14:paraId="407514A3" w14:textId="77777777" w:rsidTr="004B1060">
        <w:tc>
          <w:tcPr>
            <w:tcW w:w="1075" w:type="dxa"/>
          </w:tcPr>
          <w:p w14:paraId="368012F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Barriers and facilitators to the implementation of antenatal syphilis screening and treatment for the prevention of congenital syphilis in the Democratic Republic of Congo and Zambia: results of qualitative formative research</w:t>
            </w:r>
          </w:p>
        </w:tc>
        <w:tc>
          <w:tcPr>
            <w:tcW w:w="720" w:type="dxa"/>
          </w:tcPr>
          <w:p w14:paraId="6A64914D"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Nkamba</w:t>
            </w:r>
            <w:proofErr w:type="spellEnd"/>
            <w:r w:rsidRPr="007675B1">
              <w:rPr>
                <w:rFonts w:ascii="Arial Narrow" w:hAnsi="Arial Narrow" w:cs="Arial"/>
                <w:sz w:val="20"/>
                <w:szCs w:val="20"/>
              </w:rPr>
              <w:t xml:space="preserve"> et al., 2017</w:t>
            </w:r>
          </w:p>
        </w:tc>
        <w:tc>
          <w:tcPr>
            <w:tcW w:w="990" w:type="dxa"/>
          </w:tcPr>
          <w:p w14:paraId="2F2735A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0E430D9C"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DRC</w:t>
            </w:r>
            <w:r w:rsidRPr="007675B1">
              <w:rPr>
                <w:rFonts w:ascii="Arial Narrow" w:hAnsi="Arial Narrow" w:cs="Arial"/>
                <w:sz w:val="20"/>
                <w:szCs w:val="20"/>
              </w:rPr>
              <w:t>, Zambia</w:t>
            </w:r>
          </w:p>
        </w:tc>
        <w:tc>
          <w:tcPr>
            <w:tcW w:w="630" w:type="dxa"/>
          </w:tcPr>
          <w:p w14:paraId="3D6DD26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Qualitative research design </w:t>
            </w:r>
          </w:p>
        </w:tc>
        <w:tc>
          <w:tcPr>
            <w:tcW w:w="810" w:type="dxa"/>
          </w:tcPr>
          <w:p w14:paraId="392D336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34</w:t>
            </w:r>
          </w:p>
        </w:tc>
        <w:tc>
          <w:tcPr>
            <w:tcW w:w="2160" w:type="dxa"/>
          </w:tcPr>
          <w:p w14:paraId="161AA20F"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Governance:</w:t>
            </w:r>
            <w:r w:rsidRPr="007675B1">
              <w:rPr>
                <w:rFonts w:ascii="Arial Narrow" w:hAnsi="Arial Narrow" w:cs="Arial"/>
                <w:sz w:val="20"/>
                <w:szCs w:val="20"/>
              </w:rPr>
              <w:t xml:space="preserve"> Facilitators include the existence of national guidelines for ANC best practice recommendations (including testing and counselling at first visit) and public health initiatives to improve quality of care.</w:t>
            </w:r>
          </w:p>
        </w:tc>
        <w:tc>
          <w:tcPr>
            <w:tcW w:w="3060" w:type="dxa"/>
          </w:tcPr>
          <w:p w14:paraId="16C7DB8A"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Governance: </w:t>
            </w:r>
            <w:r w:rsidRPr="007675B1">
              <w:rPr>
                <w:rFonts w:ascii="Arial Narrow" w:hAnsi="Arial Narrow" w:cs="Arial"/>
                <w:sz w:val="20"/>
                <w:szCs w:val="20"/>
              </w:rPr>
              <w:t>Barriers for the implementation of syphilis testing and treatment include fragmentation of the health system and the existence of ANC guidelines in conflict with the proposed intervention.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Geography: </w:t>
            </w:r>
            <w:r w:rsidRPr="007675B1">
              <w:rPr>
                <w:rFonts w:ascii="Arial Narrow" w:hAnsi="Arial Narrow" w:cs="Arial"/>
                <w:sz w:val="20"/>
                <w:szCs w:val="20"/>
              </w:rPr>
              <w:t>Authors reported poor geographic accessibility of clinics (e.g. long distances).</w:t>
            </w:r>
            <w:r w:rsidRPr="007675B1">
              <w:rPr>
                <w:rFonts w:ascii="Arial Narrow" w:hAnsi="Arial Narrow" w:cs="Arial"/>
                <w:b/>
                <w:bCs/>
                <w:sz w:val="20"/>
                <w:szCs w:val="20"/>
              </w:rPr>
              <w:br/>
            </w:r>
            <w:r w:rsidRPr="007675B1">
              <w:rPr>
                <w:rFonts w:ascii="Arial Narrow" w:hAnsi="Arial Narrow" w:cs="Arial"/>
                <w:b/>
                <w:bCs/>
                <w:sz w:val="20"/>
                <w:szCs w:val="20"/>
              </w:rPr>
              <w:br/>
              <w:t xml:space="preserve">HRH: </w:t>
            </w:r>
            <w:r w:rsidRPr="007675B1">
              <w:rPr>
                <w:rFonts w:ascii="Arial Narrow" w:hAnsi="Arial Narrow" w:cs="Arial"/>
                <w:sz w:val="20"/>
                <w:szCs w:val="20"/>
              </w:rPr>
              <w:t>Staffing was a challenge, as were lack of knowledge and training about evolving best practices and reservations regarding same-day screening and treatment.</w:t>
            </w:r>
            <w:r w:rsidRPr="007675B1">
              <w:rPr>
                <w:rFonts w:ascii="Arial Narrow" w:hAnsi="Arial Narrow" w:cs="Arial"/>
                <w:b/>
                <w:bCs/>
                <w:sz w:val="20"/>
                <w:szCs w:val="20"/>
              </w:rPr>
              <w:br/>
            </w:r>
            <w:r w:rsidRPr="007675B1">
              <w:rPr>
                <w:rFonts w:ascii="Arial Narrow" w:hAnsi="Arial Narrow" w:cs="Arial"/>
                <w:b/>
                <w:bCs/>
                <w:sz w:val="20"/>
                <w:szCs w:val="20"/>
              </w:rPr>
              <w:br/>
              <w:t xml:space="preserve">Facility Readiness: </w:t>
            </w:r>
            <w:r w:rsidRPr="007675B1">
              <w:rPr>
                <w:rFonts w:ascii="Arial Narrow" w:hAnsi="Arial Narrow" w:cs="Arial"/>
                <w:sz w:val="20"/>
                <w:szCs w:val="20"/>
              </w:rPr>
              <w:t>Other challenges include infrastructure (laboratory capacity, cold storage, and electricity), and product shortages at the PCCs.</w:t>
            </w:r>
            <w:r w:rsidRPr="007675B1">
              <w:rPr>
                <w:rFonts w:ascii="Arial Narrow" w:hAnsi="Arial Narrow" w:cs="Arial"/>
                <w:b/>
                <w:bCs/>
                <w:sz w:val="20"/>
                <w:szCs w:val="20"/>
              </w:rPr>
              <w:br/>
            </w:r>
            <w:r w:rsidRPr="007675B1">
              <w:rPr>
                <w:rFonts w:ascii="Arial Narrow" w:hAnsi="Arial Narrow" w:cs="Arial"/>
                <w:b/>
                <w:bCs/>
                <w:sz w:val="20"/>
                <w:szCs w:val="20"/>
              </w:rPr>
              <w:br/>
              <w:t xml:space="preserve">Financing: </w:t>
            </w:r>
            <w:r w:rsidRPr="007675B1">
              <w:rPr>
                <w:rFonts w:ascii="Arial Narrow" w:hAnsi="Arial Narrow" w:cs="Arial"/>
                <w:sz w:val="20"/>
                <w:szCs w:val="20"/>
              </w:rPr>
              <w:t>Costs were borne by patients, and in review participants noted financial barriers to care for syphilis services and broader ANC.</w:t>
            </w:r>
          </w:p>
        </w:tc>
        <w:tc>
          <w:tcPr>
            <w:tcW w:w="1080" w:type="dxa"/>
          </w:tcPr>
          <w:p w14:paraId="0C3DF88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Facility Readiness, HRH, Geography/Transportation, </w:t>
            </w:r>
            <w:proofErr w:type="gramStart"/>
            <w:r w:rsidRPr="007675B1">
              <w:rPr>
                <w:rFonts w:ascii="Arial Narrow" w:hAnsi="Arial Narrow" w:cs="Arial"/>
                <w:sz w:val="20"/>
                <w:szCs w:val="20"/>
              </w:rPr>
              <w:t>Financing,  Governance</w:t>
            </w:r>
            <w:proofErr w:type="gramEnd"/>
          </w:p>
        </w:tc>
      </w:tr>
      <w:tr w:rsidR="004B1060" w:rsidRPr="007675B1" w14:paraId="64D7A9E2" w14:textId="77777777" w:rsidTr="004B1060">
        <w:tc>
          <w:tcPr>
            <w:tcW w:w="1075" w:type="dxa"/>
          </w:tcPr>
          <w:p w14:paraId="66A57BC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Quality care during labor and birth: a multi-country analysis of health system bottlenecks and potential solutions</w:t>
            </w:r>
          </w:p>
        </w:tc>
        <w:tc>
          <w:tcPr>
            <w:tcW w:w="720" w:type="dxa"/>
          </w:tcPr>
          <w:p w14:paraId="758A042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Sharma et al., 2015</w:t>
            </w:r>
          </w:p>
        </w:tc>
        <w:tc>
          <w:tcPr>
            <w:tcW w:w="990" w:type="dxa"/>
          </w:tcPr>
          <w:p w14:paraId="4ACDAF2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4FC5F995"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Afghanistan, Cameroon, </w:t>
            </w:r>
            <w:r w:rsidRPr="007675B1">
              <w:rPr>
                <w:rFonts w:ascii="Arial Narrow" w:hAnsi="Arial Narrow" w:cs="Arial"/>
                <w:b/>
                <w:bCs/>
                <w:sz w:val="20"/>
                <w:szCs w:val="20"/>
              </w:rPr>
              <w:t>Democratic Republic of Congo (DRC)</w:t>
            </w:r>
            <w:r w:rsidRPr="007675B1">
              <w:rPr>
                <w:rFonts w:ascii="Arial Narrow" w:hAnsi="Arial Narrow" w:cs="Arial"/>
                <w:sz w:val="20"/>
                <w:szCs w:val="20"/>
              </w:rPr>
              <w:t xml:space="preserve">, Kenya, Malawi, Nigeria, Uganda, Bangladesh, India, Nepal, </w:t>
            </w:r>
            <w:proofErr w:type="gramStart"/>
            <w:r w:rsidRPr="007675B1">
              <w:rPr>
                <w:rFonts w:ascii="Arial Narrow" w:hAnsi="Arial Narrow" w:cs="Arial"/>
                <w:sz w:val="20"/>
                <w:szCs w:val="20"/>
              </w:rPr>
              <w:t>Pakistan</w:t>
            </w:r>
            <w:proofErr w:type="gramEnd"/>
            <w:r w:rsidRPr="007675B1">
              <w:rPr>
                <w:rFonts w:ascii="Arial Narrow" w:hAnsi="Arial Narrow" w:cs="Arial"/>
                <w:sz w:val="20"/>
                <w:szCs w:val="20"/>
              </w:rPr>
              <w:t xml:space="preserve"> and Vietnam.</w:t>
            </w:r>
          </w:p>
        </w:tc>
        <w:tc>
          <w:tcPr>
            <w:tcW w:w="630" w:type="dxa"/>
          </w:tcPr>
          <w:p w14:paraId="7904B7B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Quantitative and qualitative research methods design</w:t>
            </w:r>
          </w:p>
        </w:tc>
        <w:tc>
          <w:tcPr>
            <w:tcW w:w="810" w:type="dxa"/>
          </w:tcPr>
          <w:p w14:paraId="450911F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33</w:t>
            </w:r>
          </w:p>
        </w:tc>
        <w:tc>
          <w:tcPr>
            <w:tcW w:w="2160" w:type="dxa"/>
          </w:tcPr>
          <w:p w14:paraId="08022D63"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Financing: </w:t>
            </w:r>
            <w:r w:rsidRPr="007675B1">
              <w:rPr>
                <w:rFonts w:ascii="Arial Narrow" w:hAnsi="Arial Narrow" w:cs="Arial"/>
                <w:sz w:val="20"/>
                <w:szCs w:val="20"/>
              </w:rPr>
              <w:t>Workshop participants proposed innovative financing schemes to remove financial barriers to care (such as those aligned with UHC efforts in DRC) and strengthening national financing mechanisms to provide consistent and predictable funding.</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xml:space="preserve">: MNCH service coverage can be increased through skilled care teams </w:t>
            </w:r>
            <w:r w:rsidRPr="007675B1">
              <w:rPr>
                <w:rFonts w:ascii="Arial Narrow" w:hAnsi="Arial Narrow" w:cs="Arial"/>
                <w:sz w:val="20"/>
                <w:szCs w:val="20"/>
              </w:rPr>
              <w:lastRenderedPageBreak/>
              <w:t>with capacity to provide services for normal labor and refer more difficult cases and complications.</w:t>
            </w:r>
            <w:r w:rsidRPr="007675B1">
              <w:rPr>
                <w:rFonts w:ascii="Arial Narrow" w:hAnsi="Arial Narrow" w:cs="Arial"/>
                <w:sz w:val="20"/>
                <w:szCs w:val="20"/>
              </w:rPr>
              <w:br/>
            </w:r>
            <w:r w:rsidRPr="007675B1">
              <w:rPr>
                <w:rFonts w:ascii="Arial Narrow" w:hAnsi="Arial Narrow" w:cs="Arial"/>
                <w:sz w:val="20"/>
                <w:szCs w:val="20"/>
              </w:rPr>
              <w:br/>
              <w:t>To address HRH barriers, participants suggested improving job descriptions and career development opportunities, including financial incentives. Solutions should address recruitment, deployment, retention, and capacity building. Accreditation and scale-up midwives could improve coverage.</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xml:space="preserve">: Solutions include proactive governance aligned with evidence-based practices (e.g., national guidelines for </w:t>
            </w:r>
            <w:proofErr w:type="spellStart"/>
            <w:r w:rsidRPr="007675B1">
              <w:rPr>
                <w:rFonts w:ascii="Arial Narrow" w:hAnsi="Arial Narrow" w:cs="Arial"/>
                <w:sz w:val="20"/>
                <w:szCs w:val="20"/>
              </w:rPr>
              <w:t>EmOC</w:t>
            </w:r>
            <w:proofErr w:type="spellEnd"/>
            <w:r w:rsidRPr="007675B1">
              <w:rPr>
                <w:rFonts w:ascii="Arial Narrow" w:hAnsi="Arial Narrow" w:cs="Arial"/>
                <w:sz w:val="20"/>
                <w:szCs w:val="20"/>
              </w:rPr>
              <w:t>) and contextualized planning that considers underserved populations.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Facility Readiness</w:t>
            </w:r>
            <w:r w:rsidRPr="007675B1">
              <w:rPr>
                <w:rFonts w:ascii="Arial Narrow" w:hAnsi="Arial Narrow" w:cs="Arial"/>
                <w:sz w:val="20"/>
                <w:szCs w:val="20"/>
              </w:rPr>
              <w:t xml:space="preserve">: Strengthening national management systems; improving forecasting, supply, and availability of essential medicines; improving information systems; expanding national supply chains; centralizing blood donation and storage were possible solutions to facility readiness challenges. </w:t>
            </w:r>
          </w:p>
        </w:tc>
        <w:tc>
          <w:tcPr>
            <w:tcW w:w="3060" w:type="dxa"/>
          </w:tcPr>
          <w:p w14:paraId="5693D27B"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lastRenderedPageBreak/>
              <w:t>Governance</w:t>
            </w:r>
            <w:r w:rsidRPr="007675B1">
              <w:rPr>
                <w:rFonts w:ascii="Arial Narrow" w:hAnsi="Arial Narrow" w:cs="Arial"/>
                <w:sz w:val="20"/>
                <w:szCs w:val="20"/>
              </w:rPr>
              <w:t xml:space="preserve">: Leadership and governance bottlenecks were determined to be significant in DRC, as were those for community ownership and partnership. Barriers include limited advocacy efforts, lack of effective leadership and political will, minimal availability of evidence-based guidelines for </w:t>
            </w:r>
            <w:proofErr w:type="spellStart"/>
            <w:r w:rsidRPr="007675B1">
              <w:rPr>
                <w:rFonts w:ascii="Arial Narrow" w:hAnsi="Arial Narrow" w:cs="Arial"/>
                <w:sz w:val="20"/>
                <w:szCs w:val="20"/>
              </w:rPr>
              <w:t>EmOC</w:t>
            </w:r>
            <w:proofErr w:type="spellEnd"/>
            <w:r w:rsidRPr="007675B1">
              <w:rPr>
                <w:rFonts w:ascii="Arial Narrow" w:hAnsi="Arial Narrow" w:cs="Arial"/>
                <w:sz w:val="20"/>
                <w:szCs w:val="20"/>
              </w:rPr>
              <w:t>, and national planning efforts that are not tailored to local contexts.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Financing</w:t>
            </w:r>
            <w:r w:rsidRPr="007675B1">
              <w:rPr>
                <w:rFonts w:ascii="Arial Narrow" w:hAnsi="Arial Narrow" w:cs="Arial"/>
                <w:sz w:val="20"/>
                <w:szCs w:val="20"/>
              </w:rPr>
              <w:t xml:space="preserve">: National financing for essential childbirth services was inadequate and identified as a critical bottleneck for MNCH in DRC. Financial </w:t>
            </w:r>
            <w:r w:rsidRPr="007675B1">
              <w:rPr>
                <w:rFonts w:ascii="Arial Narrow" w:hAnsi="Arial Narrow" w:cs="Arial"/>
                <w:sz w:val="20"/>
                <w:szCs w:val="20"/>
              </w:rPr>
              <w:lastRenderedPageBreak/>
              <w:t xml:space="preserve">barriers to care seeking were widespread and the absence of adequate, multi-year, predictable financing limited the scale up of </w:t>
            </w:r>
            <w:proofErr w:type="spellStart"/>
            <w:r w:rsidRPr="007675B1">
              <w:rPr>
                <w:rFonts w:ascii="Arial Narrow" w:hAnsi="Arial Narrow" w:cs="Arial"/>
                <w:sz w:val="20"/>
                <w:szCs w:val="20"/>
              </w:rPr>
              <w:t>EmOC</w:t>
            </w:r>
            <w:proofErr w:type="spellEnd"/>
            <w:r w:rsidRPr="007675B1">
              <w:rPr>
                <w:rFonts w:ascii="Arial Narrow" w:hAnsi="Arial Narrow" w:cs="Arial"/>
                <w:sz w:val="20"/>
                <w:szCs w:val="20"/>
              </w:rPr>
              <w:t xml:space="preserve"> services.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HRH:  </w:t>
            </w:r>
            <w:r w:rsidRPr="007675B1">
              <w:rPr>
                <w:rFonts w:ascii="Arial Narrow" w:hAnsi="Arial Narrow" w:cs="Arial"/>
                <w:sz w:val="20"/>
                <w:szCs w:val="20"/>
              </w:rPr>
              <w:t>HRH bottlenecks were also significant, and they included lack of skilled personnel in rural areas</w:t>
            </w:r>
            <w:r w:rsidRPr="007675B1">
              <w:rPr>
                <w:rFonts w:ascii="Arial Narrow" w:hAnsi="Arial Narrow" w:cs="Arial"/>
                <w:b/>
                <w:bCs/>
                <w:sz w:val="20"/>
                <w:szCs w:val="20"/>
              </w:rPr>
              <w:t xml:space="preserve">, </w:t>
            </w:r>
            <w:r w:rsidRPr="007675B1">
              <w:rPr>
                <w:rFonts w:ascii="Arial Narrow" w:hAnsi="Arial Narrow" w:cs="Arial"/>
                <w:sz w:val="20"/>
                <w:szCs w:val="20"/>
              </w:rPr>
              <w:t>uneven distribution of skilled health workers, lack of adequate production of trained human resources, lack of comprehensive national human resource plans, limited opportunities for further training and career progression, low salaries, poor work environments and limited supervision, and poor quality of trainings and supervision.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Facility Readiness: </w:t>
            </w:r>
            <w:r w:rsidRPr="007675B1">
              <w:rPr>
                <w:rFonts w:ascii="Arial Narrow" w:hAnsi="Arial Narrow" w:cs="Arial"/>
                <w:sz w:val="20"/>
                <w:szCs w:val="20"/>
              </w:rPr>
              <w:t>Authors noted weak facility infrastructure and noted significant bottlenecks in essential medical products and technologies.</w:t>
            </w:r>
            <w:r w:rsidRPr="007675B1">
              <w:rPr>
                <w:rFonts w:ascii="Arial Narrow" w:hAnsi="Arial Narrow" w:cs="Arial"/>
                <w:sz w:val="20"/>
                <w:szCs w:val="20"/>
              </w:rPr>
              <w:br/>
            </w:r>
            <w:r w:rsidRPr="007675B1">
              <w:rPr>
                <w:rFonts w:ascii="Arial Narrow" w:hAnsi="Arial Narrow" w:cs="Arial"/>
                <w:sz w:val="20"/>
                <w:szCs w:val="20"/>
              </w:rPr>
              <w:br/>
              <w:t>Supplies and equipment are limited by lack of nationally agreed minimum standards for drugs, supplies and equipment results in procurement from a variety of sources often leading to receipt of supplies of variable quality, weak infrastructure, national procurement and logistics management systems are weak, problems such as overstocking at the center and stock-outs in districts occur</w:t>
            </w:r>
          </w:p>
        </w:tc>
        <w:tc>
          <w:tcPr>
            <w:tcW w:w="1080" w:type="dxa"/>
          </w:tcPr>
          <w:p w14:paraId="7FFE964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Facility Readiness, HRH, Financing, Governance</w:t>
            </w:r>
          </w:p>
        </w:tc>
      </w:tr>
      <w:tr w:rsidR="004B1060" w:rsidRPr="007675B1" w14:paraId="6A0894FC" w14:textId="77777777" w:rsidTr="004B1060">
        <w:tc>
          <w:tcPr>
            <w:tcW w:w="1075" w:type="dxa"/>
          </w:tcPr>
          <w:p w14:paraId="409D349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Performance-based financing in the health</w:t>
            </w:r>
            <w:r w:rsidRPr="007675B1">
              <w:rPr>
                <w:rFonts w:ascii="Arial Narrow" w:hAnsi="Arial Narrow" w:cs="Arial"/>
                <w:sz w:val="20"/>
                <w:szCs w:val="20"/>
              </w:rPr>
              <w:br/>
              <w:t>sector of the Democratic Republic of</w:t>
            </w:r>
            <w:r w:rsidRPr="007675B1">
              <w:rPr>
                <w:rFonts w:ascii="Arial Narrow" w:hAnsi="Arial Narrow" w:cs="Arial"/>
                <w:sz w:val="20"/>
                <w:szCs w:val="20"/>
              </w:rPr>
              <w:br/>
              <w:t>Congo: Impact evaluation report</w:t>
            </w:r>
          </w:p>
        </w:tc>
        <w:tc>
          <w:tcPr>
            <w:tcW w:w="720" w:type="dxa"/>
          </w:tcPr>
          <w:p w14:paraId="69F8725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World Bank 2022</w:t>
            </w:r>
          </w:p>
        </w:tc>
        <w:tc>
          <w:tcPr>
            <w:tcW w:w="990" w:type="dxa"/>
          </w:tcPr>
          <w:p w14:paraId="7B47E88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Grey Literature</w:t>
            </w:r>
          </w:p>
        </w:tc>
        <w:tc>
          <w:tcPr>
            <w:tcW w:w="990" w:type="dxa"/>
          </w:tcPr>
          <w:p w14:paraId="10B1146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National</w:t>
            </w:r>
          </w:p>
        </w:tc>
        <w:tc>
          <w:tcPr>
            <w:tcW w:w="630" w:type="dxa"/>
          </w:tcPr>
          <w:p w14:paraId="7467BF0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Impact evaluation</w:t>
            </w:r>
          </w:p>
        </w:tc>
        <w:tc>
          <w:tcPr>
            <w:tcW w:w="810" w:type="dxa"/>
          </w:tcPr>
          <w:p w14:paraId="4B19528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39</w:t>
            </w:r>
          </w:p>
        </w:tc>
        <w:tc>
          <w:tcPr>
            <w:tcW w:w="2160" w:type="dxa"/>
          </w:tcPr>
          <w:p w14:paraId="2580DCB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Baseline and endline study data suggest positive trends for both the PBF and control health zones supported by the project, with coverage for many reproductive, maternal and child health services substantially increasing. Authors note it is reasonable to assume that the project contributed to these positive changes in at least some capacity. </w:t>
            </w:r>
          </w:p>
        </w:tc>
        <w:tc>
          <w:tcPr>
            <w:tcW w:w="3060" w:type="dxa"/>
          </w:tcPr>
          <w:p w14:paraId="5BA11F9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Financing: </w:t>
            </w:r>
            <w:r w:rsidRPr="007675B1">
              <w:rPr>
                <w:rFonts w:ascii="Arial Narrow" w:hAnsi="Arial Narrow" w:cs="Arial"/>
                <w:sz w:val="20"/>
                <w:szCs w:val="20"/>
              </w:rPr>
              <w:t>DRC has low health expenditure per capita in comparison to other low-income and African countries.</w:t>
            </w:r>
            <w:r w:rsidRPr="007675B1">
              <w:rPr>
                <w:rFonts w:ascii="Arial Narrow" w:hAnsi="Arial Narrow" w:cs="Arial"/>
                <w:sz w:val="20"/>
                <w:szCs w:val="20"/>
              </w:rPr>
              <w:br/>
            </w:r>
            <w:r w:rsidRPr="007675B1">
              <w:rPr>
                <w:rFonts w:ascii="Arial Narrow" w:hAnsi="Arial Narrow" w:cs="Arial"/>
                <w:sz w:val="20"/>
                <w:szCs w:val="20"/>
              </w:rPr>
              <w:br/>
              <w:t>External aid and out-of-pocket spending (each</w:t>
            </w:r>
            <w:r w:rsidRPr="007675B1">
              <w:rPr>
                <w:rFonts w:ascii="Arial Narrow" w:hAnsi="Arial Narrow" w:cs="Arial"/>
                <w:sz w:val="20"/>
                <w:szCs w:val="20"/>
              </w:rPr>
              <w:br/>
              <w:t>accounting for about 39% of the total) are the largest sources of health expenditure.</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HRH:</w:t>
            </w:r>
            <w:r w:rsidRPr="007675B1">
              <w:rPr>
                <w:rFonts w:ascii="Arial Narrow" w:hAnsi="Arial Narrow" w:cs="Arial"/>
                <w:sz w:val="20"/>
                <w:szCs w:val="20"/>
              </w:rPr>
              <w:t xml:space="preserve"> A large share of the health workforce is un-salaried. Health facilities require user fees to pay operational costs and staff salaries.</w:t>
            </w:r>
            <w:r w:rsidRPr="007675B1">
              <w:rPr>
                <w:rFonts w:ascii="Arial Narrow" w:hAnsi="Arial Narrow" w:cs="Arial"/>
                <w:sz w:val="20"/>
                <w:szCs w:val="20"/>
              </w:rPr>
              <w:br/>
            </w:r>
            <w:r w:rsidRPr="007675B1">
              <w:rPr>
                <w:rFonts w:ascii="Arial Narrow" w:hAnsi="Arial Narrow" w:cs="Arial"/>
                <w:sz w:val="20"/>
                <w:szCs w:val="20"/>
              </w:rPr>
              <w:br/>
              <w:t>There is evidence of low provider compliance with clinical protocols (e.g. low process quality).</w:t>
            </w:r>
            <w:r w:rsidRPr="007675B1">
              <w:rPr>
                <w:rFonts w:ascii="Arial Narrow" w:hAnsi="Arial Narrow" w:cs="Arial"/>
                <w:sz w:val="20"/>
                <w:szCs w:val="20"/>
              </w:rPr>
              <w:br/>
            </w:r>
            <w:r w:rsidRPr="007675B1">
              <w:rPr>
                <w:rFonts w:ascii="Arial Narrow" w:hAnsi="Arial Narrow" w:cs="Arial"/>
                <w:sz w:val="20"/>
                <w:szCs w:val="20"/>
              </w:rPr>
              <w:lastRenderedPageBreak/>
              <w:br/>
            </w:r>
            <w:r w:rsidRPr="007675B1">
              <w:rPr>
                <w:rFonts w:ascii="Arial Narrow" w:hAnsi="Arial Narrow" w:cs="Arial"/>
                <w:b/>
                <w:bCs/>
                <w:sz w:val="20"/>
                <w:szCs w:val="20"/>
              </w:rPr>
              <w:t>Facility Readiness:</w:t>
            </w:r>
            <w:r w:rsidRPr="007675B1">
              <w:rPr>
                <w:rFonts w:ascii="Arial Narrow" w:hAnsi="Arial Narrow" w:cs="Arial"/>
                <w:sz w:val="20"/>
                <w:szCs w:val="20"/>
              </w:rPr>
              <w:t xml:space="preserve"> Health facilities in many areas have bad infrastructure and low availability of equipment and other medical supplies (structural quality).</w:t>
            </w:r>
          </w:p>
        </w:tc>
        <w:tc>
          <w:tcPr>
            <w:tcW w:w="1080" w:type="dxa"/>
          </w:tcPr>
          <w:p w14:paraId="4F46CBE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 xml:space="preserve">Facility Readiness, </w:t>
            </w:r>
            <w:proofErr w:type="gramStart"/>
            <w:r w:rsidRPr="007675B1">
              <w:rPr>
                <w:rFonts w:ascii="Arial Narrow" w:hAnsi="Arial Narrow" w:cs="Arial"/>
                <w:sz w:val="20"/>
                <w:szCs w:val="20"/>
              </w:rPr>
              <w:t>HRH,  Financing</w:t>
            </w:r>
            <w:proofErr w:type="gramEnd"/>
          </w:p>
        </w:tc>
      </w:tr>
      <w:tr w:rsidR="004B1060" w:rsidRPr="007675B1" w14:paraId="30894239" w14:textId="77777777" w:rsidTr="004B1060">
        <w:tc>
          <w:tcPr>
            <w:tcW w:w="1075" w:type="dxa"/>
          </w:tcPr>
          <w:p w14:paraId="6648795C" w14:textId="77777777" w:rsidR="00C32A5C" w:rsidRPr="007675B1" w:rsidRDefault="00C32A5C" w:rsidP="00C1776D">
            <w:pPr>
              <w:rPr>
                <w:rFonts w:ascii="Arial Narrow" w:hAnsi="Arial Narrow"/>
                <w:sz w:val="20"/>
                <w:szCs w:val="20"/>
              </w:rPr>
            </w:pPr>
            <w:r>
              <w:rPr>
                <w:rFonts w:ascii="Arial Narrow" w:hAnsi="Arial Narrow" w:cs="Arial"/>
                <w:sz w:val="20"/>
                <w:szCs w:val="20"/>
              </w:rPr>
              <w:t>Health Financing in the DRC: A summary of studies on the fiscal space of the National Health Development Plan (NHDP) and on the mobilization and allocation of health resources at central and local levels</w:t>
            </w:r>
          </w:p>
        </w:tc>
        <w:tc>
          <w:tcPr>
            <w:tcW w:w="720" w:type="dxa"/>
          </w:tcPr>
          <w:p w14:paraId="0564BB4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World Bank, 2020</w:t>
            </w:r>
          </w:p>
        </w:tc>
        <w:tc>
          <w:tcPr>
            <w:tcW w:w="990" w:type="dxa"/>
          </w:tcPr>
          <w:p w14:paraId="0470779F"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Grey Literature</w:t>
            </w:r>
          </w:p>
        </w:tc>
        <w:tc>
          <w:tcPr>
            <w:tcW w:w="990" w:type="dxa"/>
          </w:tcPr>
          <w:p w14:paraId="69A9BB6B"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National</w:t>
            </w:r>
          </w:p>
        </w:tc>
        <w:tc>
          <w:tcPr>
            <w:tcW w:w="630" w:type="dxa"/>
          </w:tcPr>
          <w:p w14:paraId="2F87DB9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Summary of studies</w:t>
            </w:r>
          </w:p>
        </w:tc>
        <w:tc>
          <w:tcPr>
            <w:tcW w:w="810" w:type="dxa"/>
          </w:tcPr>
          <w:p w14:paraId="0A0073B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17</w:t>
            </w:r>
          </w:p>
        </w:tc>
        <w:tc>
          <w:tcPr>
            <w:tcW w:w="2160" w:type="dxa"/>
          </w:tcPr>
          <w:p w14:paraId="4E642C57"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Decentralization plans could improve mobilization and allocation of health resources provincially.</w:t>
            </w:r>
          </w:p>
        </w:tc>
        <w:tc>
          <w:tcPr>
            <w:tcW w:w="3060" w:type="dxa"/>
          </w:tcPr>
          <w:p w14:paraId="7405DEEB"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 xml:space="preserve">Financing: </w:t>
            </w:r>
            <w:r w:rsidRPr="007675B1">
              <w:rPr>
                <w:rFonts w:ascii="Arial Narrow" w:hAnsi="Arial Narrow" w:cs="Arial"/>
                <w:sz w:val="20"/>
                <w:szCs w:val="20"/>
              </w:rPr>
              <w:t xml:space="preserve"> Per capita health expenditure is low (21 USD in 2017). Only 2 USD of per capita health expenditure originates from the government resulting fr</w:t>
            </w:r>
            <w:r>
              <w:rPr>
                <w:rFonts w:ascii="Arial Narrow" w:hAnsi="Arial Narrow" w:cs="Arial"/>
                <w:sz w:val="20"/>
                <w:szCs w:val="20"/>
              </w:rPr>
              <w:t>o</w:t>
            </w:r>
            <w:r w:rsidRPr="007675B1">
              <w:rPr>
                <w:rFonts w:ascii="Arial Narrow" w:hAnsi="Arial Narrow" w:cs="Arial"/>
                <w:sz w:val="20"/>
                <w:szCs w:val="20"/>
              </w:rPr>
              <w:t>m a low budget allocation for health (10 percent in 2019). Meanwhile, household spending (9 USD per capita in 2017) and reliance on external funding (43 percent of total health expenditure) are high. DRC has low budget execution (54 percent in 2017), indicating that available resources are poorly spent.</w:t>
            </w:r>
          </w:p>
        </w:tc>
        <w:tc>
          <w:tcPr>
            <w:tcW w:w="1080" w:type="dxa"/>
          </w:tcPr>
          <w:p w14:paraId="2045CAF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Financing</w:t>
            </w:r>
          </w:p>
        </w:tc>
      </w:tr>
      <w:tr w:rsidR="004B1060" w:rsidRPr="007675B1" w14:paraId="165767D4" w14:textId="77777777" w:rsidTr="004B1060">
        <w:tc>
          <w:tcPr>
            <w:tcW w:w="1075" w:type="dxa"/>
          </w:tcPr>
          <w:p w14:paraId="1CBE574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Towards the achievement of universal health coverage in the Democratic Republic of Congo: does the Country walk its talk?</w:t>
            </w:r>
          </w:p>
        </w:tc>
        <w:tc>
          <w:tcPr>
            <w:tcW w:w="720" w:type="dxa"/>
          </w:tcPr>
          <w:p w14:paraId="4D271F13" w14:textId="77777777" w:rsidR="00C32A5C" w:rsidRPr="007675B1" w:rsidRDefault="00C32A5C" w:rsidP="00C1776D">
            <w:pPr>
              <w:rPr>
                <w:rFonts w:ascii="Arial Narrow" w:hAnsi="Arial Narrow"/>
                <w:sz w:val="20"/>
                <w:szCs w:val="20"/>
              </w:rPr>
            </w:pPr>
            <w:proofErr w:type="spellStart"/>
            <w:r w:rsidRPr="007675B1">
              <w:rPr>
                <w:rFonts w:ascii="Arial Narrow" w:hAnsi="Arial Narrow" w:cs="Arial"/>
                <w:sz w:val="20"/>
                <w:szCs w:val="20"/>
              </w:rPr>
              <w:t>Nyamugira</w:t>
            </w:r>
            <w:proofErr w:type="spellEnd"/>
            <w:r w:rsidRPr="007675B1">
              <w:rPr>
                <w:rFonts w:ascii="Arial Narrow" w:hAnsi="Arial Narrow" w:cs="Arial"/>
                <w:sz w:val="20"/>
                <w:szCs w:val="20"/>
              </w:rPr>
              <w:t xml:space="preserve"> et al., 2022</w:t>
            </w:r>
          </w:p>
        </w:tc>
        <w:tc>
          <w:tcPr>
            <w:tcW w:w="990" w:type="dxa"/>
          </w:tcPr>
          <w:p w14:paraId="70E0056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5D3C10A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National</w:t>
            </w:r>
          </w:p>
        </w:tc>
        <w:tc>
          <w:tcPr>
            <w:tcW w:w="630" w:type="dxa"/>
          </w:tcPr>
          <w:p w14:paraId="64583846"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Secondary data analysis</w:t>
            </w:r>
          </w:p>
        </w:tc>
        <w:tc>
          <w:tcPr>
            <w:tcW w:w="810" w:type="dxa"/>
          </w:tcPr>
          <w:p w14:paraId="2773D290"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34</w:t>
            </w:r>
          </w:p>
        </w:tc>
        <w:tc>
          <w:tcPr>
            <w:tcW w:w="2160" w:type="dxa"/>
          </w:tcPr>
          <w:p w14:paraId="21619ED4"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UHC and financial risk protection policies are facilitators of financial accessibility. There was an increase in health insurance uptake following UHC policies in DRC. Following UHC policies, there was also a slight improvement in government health expenditure though the expenditure fell short of the 15% stipulated in the Abuja Declaration.</w:t>
            </w:r>
          </w:p>
        </w:tc>
        <w:tc>
          <w:tcPr>
            <w:tcW w:w="3060" w:type="dxa"/>
          </w:tcPr>
          <w:p w14:paraId="3916ED8D"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There is a high cost of services and out-of-pocket expenditure. </w:t>
            </w:r>
            <w:r w:rsidRPr="007675B1">
              <w:rPr>
                <w:rFonts w:ascii="Arial Narrow" w:hAnsi="Arial Narrow" w:cs="Arial"/>
                <w:sz w:val="20"/>
                <w:szCs w:val="20"/>
              </w:rPr>
              <w:br/>
            </w:r>
            <w:r w:rsidRPr="007675B1">
              <w:rPr>
                <w:rFonts w:ascii="Arial Narrow" w:hAnsi="Arial Narrow" w:cs="Arial"/>
                <w:sz w:val="20"/>
                <w:szCs w:val="20"/>
              </w:rPr>
              <w:br/>
              <w:t xml:space="preserve">Per capita health expenditure (13 USD) is low and generally below that of other low-income and sub-Saharan African countries. In 2019, health financing accounted for 3.5% </w:t>
            </w:r>
            <w:proofErr w:type="gramStart"/>
            <w:r w:rsidRPr="007675B1">
              <w:rPr>
                <w:rFonts w:ascii="Arial Narrow" w:hAnsi="Arial Narrow" w:cs="Arial"/>
                <w:sz w:val="20"/>
                <w:szCs w:val="20"/>
              </w:rPr>
              <w:t>of  GDP</w:t>
            </w:r>
            <w:proofErr w:type="gramEnd"/>
            <w:r w:rsidRPr="007675B1">
              <w:rPr>
                <w:rFonts w:ascii="Arial Narrow" w:hAnsi="Arial Narrow" w:cs="Arial"/>
                <w:sz w:val="20"/>
                <w:szCs w:val="20"/>
              </w:rPr>
              <w:t xml:space="preserve"> and 8.5% of the DRC's budget. Out-of-pocket payments make up over 90% of household health expenditure, and most of the population is not covered by risk-sharing systems. Health insurance is particularly lacking among the poorest segment of the population.</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Governance</w:t>
            </w:r>
            <w:r w:rsidRPr="007675B1">
              <w:rPr>
                <w:rFonts w:ascii="Arial Narrow" w:hAnsi="Arial Narrow" w:cs="Arial"/>
                <w:sz w:val="20"/>
                <w:szCs w:val="20"/>
              </w:rPr>
              <w:t xml:space="preserve">: Barriers include weak institutions, poor commitment, and weak governance. </w:t>
            </w:r>
          </w:p>
        </w:tc>
        <w:tc>
          <w:tcPr>
            <w:tcW w:w="1080" w:type="dxa"/>
          </w:tcPr>
          <w:p w14:paraId="3FA41F7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Financing</w:t>
            </w:r>
          </w:p>
        </w:tc>
      </w:tr>
      <w:tr w:rsidR="004B1060" w:rsidRPr="007675B1" w14:paraId="6B0ABE5E" w14:textId="77777777" w:rsidTr="004B1060">
        <w:tc>
          <w:tcPr>
            <w:tcW w:w="1075" w:type="dxa"/>
          </w:tcPr>
          <w:p w14:paraId="3236FCD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Quality of care for children with severe disease in the Democratic Republic of the Congo</w:t>
            </w:r>
          </w:p>
        </w:tc>
        <w:tc>
          <w:tcPr>
            <w:tcW w:w="720" w:type="dxa"/>
          </w:tcPr>
          <w:p w14:paraId="028DBEBD"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Clarke-</w:t>
            </w:r>
            <w:proofErr w:type="spellStart"/>
            <w:r w:rsidRPr="007675B1">
              <w:rPr>
                <w:rFonts w:ascii="Arial Narrow" w:hAnsi="Arial Narrow" w:cs="Arial"/>
                <w:sz w:val="20"/>
                <w:szCs w:val="20"/>
              </w:rPr>
              <w:t>Deelder</w:t>
            </w:r>
            <w:proofErr w:type="spellEnd"/>
            <w:r w:rsidRPr="007675B1">
              <w:rPr>
                <w:rFonts w:ascii="Arial Narrow" w:hAnsi="Arial Narrow" w:cs="Arial"/>
                <w:sz w:val="20"/>
                <w:szCs w:val="20"/>
              </w:rPr>
              <w:t xml:space="preserve"> et al., 2019</w:t>
            </w:r>
          </w:p>
        </w:tc>
        <w:tc>
          <w:tcPr>
            <w:tcW w:w="990" w:type="dxa"/>
          </w:tcPr>
          <w:p w14:paraId="12DAFFDA"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76960198"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National</w:t>
            </w:r>
          </w:p>
        </w:tc>
        <w:tc>
          <w:tcPr>
            <w:tcW w:w="630" w:type="dxa"/>
          </w:tcPr>
          <w:p w14:paraId="73C82C4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Cross-sectional observational study</w:t>
            </w:r>
          </w:p>
        </w:tc>
        <w:tc>
          <w:tcPr>
            <w:tcW w:w="810" w:type="dxa"/>
          </w:tcPr>
          <w:p w14:paraId="6157E753"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22</w:t>
            </w:r>
          </w:p>
        </w:tc>
        <w:tc>
          <w:tcPr>
            <w:tcW w:w="2160" w:type="dxa"/>
          </w:tcPr>
          <w:p w14:paraId="04525045"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Financing:</w:t>
            </w:r>
            <w:r w:rsidRPr="007675B1">
              <w:rPr>
                <w:rFonts w:ascii="Arial Narrow" w:hAnsi="Arial Narrow" w:cs="Arial"/>
                <w:sz w:val="20"/>
                <w:szCs w:val="20"/>
              </w:rPr>
              <w:t xml:space="preserve"> The RBF program in this study financially rewards facilities where provider knowledge of IMCI protocols is high to improve quality of care. The impacts of the financial incentives are not yet known in this context.</w:t>
            </w:r>
          </w:p>
        </w:tc>
        <w:tc>
          <w:tcPr>
            <w:tcW w:w="3060" w:type="dxa"/>
          </w:tcPr>
          <w:p w14:paraId="64DE16DE" w14:textId="77777777" w:rsidR="00C32A5C" w:rsidRPr="007675B1" w:rsidRDefault="00C32A5C" w:rsidP="00C1776D">
            <w:pPr>
              <w:rPr>
                <w:rFonts w:ascii="Arial Narrow" w:hAnsi="Arial Narrow"/>
                <w:sz w:val="20"/>
                <w:szCs w:val="20"/>
              </w:rPr>
            </w:pPr>
            <w:r w:rsidRPr="007675B1">
              <w:rPr>
                <w:rFonts w:ascii="Arial Narrow" w:hAnsi="Arial Narrow" w:cs="Arial"/>
                <w:b/>
                <w:bCs/>
                <w:sz w:val="20"/>
                <w:szCs w:val="20"/>
              </w:rPr>
              <w:t>HRH:</w:t>
            </w:r>
            <w:r w:rsidRPr="007675B1">
              <w:rPr>
                <w:rFonts w:ascii="Arial Narrow" w:hAnsi="Arial Narrow" w:cs="Arial"/>
                <w:sz w:val="20"/>
                <w:szCs w:val="20"/>
              </w:rPr>
              <w:t xml:space="preserve"> ICMI training began in DRC in 2004, but only 35.8% of patients were seen by a provider with any IMCI training, and 12.5% with recent ICMI protocol training at the time of the study. Providers did not always collect key diagnostic information - for patients meeting the IMCI severe febrile disease classification, nearly 40% were not tested for malaria, and only 33% received the correct treatments.</w:t>
            </w:r>
            <w:r w:rsidRPr="007675B1">
              <w:rPr>
                <w:rFonts w:ascii="Arial Narrow" w:hAnsi="Arial Narrow" w:cs="Arial"/>
                <w:sz w:val="20"/>
                <w:szCs w:val="20"/>
              </w:rPr>
              <w:br/>
            </w:r>
            <w:r w:rsidRPr="007675B1">
              <w:rPr>
                <w:rFonts w:ascii="Arial Narrow" w:hAnsi="Arial Narrow" w:cs="Arial"/>
                <w:sz w:val="20"/>
                <w:szCs w:val="20"/>
              </w:rPr>
              <w:br/>
              <w:t xml:space="preserve">Low effort and motivation, high cognitive load, disagreement with clinical guidelines/protocols, fragmented </w:t>
            </w:r>
            <w:r w:rsidRPr="007675B1">
              <w:rPr>
                <w:rFonts w:ascii="Arial Narrow" w:hAnsi="Arial Narrow" w:cs="Arial"/>
                <w:sz w:val="20"/>
                <w:szCs w:val="20"/>
              </w:rPr>
              <w:lastRenderedPageBreak/>
              <w:t>compensation, and high caseloads may contribute to poor quality services.</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Geography</w:t>
            </w:r>
            <w:r w:rsidRPr="007675B1">
              <w:rPr>
                <w:rFonts w:ascii="Arial Narrow" w:hAnsi="Arial Narrow" w:cs="Arial"/>
                <w:sz w:val="20"/>
                <w:szCs w:val="20"/>
              </w:rPr>
              <w:t>: Geographic inaccessibility of included health facilities may contribute to low rates of referral to in-patient care.</w:t>
            </w:r>
            <w:r w:rsidRPr="007675B1">
              <w:rPr>
                <w:rFonts w:ascii="Arial Narrow" w:hAnsi="Arial Narrow" w:cs="Arial"/>
                <w:sz w:val="20"/>
                <w:szCs w:val="20"/>
              </w:rPr>
              <w:br/>
            </w:r>
            <w:r w:rsidRPr="007675B1">
              <w:rPr>
                <w:rFonts w:ascii="Arial Narrow" w:hAnsi="Arial Narrow" w:cs="Arial"/>
                <w:sz w:val="20"/>
                <w:szCs w:val="20"/>
              </w:rPr>
              <w:br/>
            </w:r>
            <w:r w:rsidRPr="007675B1">
              <w:rPr>
                <w:rFonts w:ascii="Arial Narrow" w:hAnsi="Arial Narrow" w:cs="Arial"/>
                <w:b/>
                <w:bCs/>
                <w:sz w:val="20"/>
                <w:szCs w:val="20"/>
              </w:rPr>
              <w:t xml:space="preserve">Facility Readiness: </w:t>
            </w:r>
            <w:r w:rsidRPr="007675B1">
              <w:rPr>
                <w:rFonts w:ascii="Arial Narrow" w:hAnsi="Arial Narrow" w:cs="Arial"/>
                <w:sz w:val="20"/>
                <w:szCs w:val="20"/>
              </w:rPr>
              <w:t>Supply of essential medicines is a barrier to quality care - the national Service Availability and Readiness Assessment (SARA) in 2014 found that only 50% of health facilities had amoxicillin in storage and only 23% had zinc.</w:t>
            </w:r>
          </w:p>
        </w:tc>
        <w:tc>
          <w:tcPr>
            <w:tcW w:w="1080" w:type="dxa"/>
          </w:tcPr>
          <w:p w14:paraId="37203E81"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 xml:space="preserve">Facility Readiness, HRH, Geography/Transportation, Financing </w:t>
            </w:r>
          </w:p>
        </w:tc>
      </w:tr>
      <w:tr w:rsidR="004B1060" w:rsidRPr="007675B1" w14:paraId="3DAB0441" w14:textId="77777777" w:rsidTr="004B1060">
        <w:tc>
          <w:tcPr>
            <w:tcW w:w="1075" w:type="dxa"/>
          </w:tcPr>
          <w:p w14:paraId="1635FE6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The costs of integrated community case management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programs: A multi-country analysis.</w:t>
            </w:r>
          </w:p>
        </w:tc>
        <w:tc>
          <w:tcPr>
            <w:tcW w:w="720" w:type="dxa"/>
          </w:tcPr>
          <w:p w14:paraId="306CAE2C"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Collins et al., 2014</w:t>
            </w:r>
          </w:p>
        </w:tc>
        <w:tc>
          <w:tcPr>
            <w:tcW w:w="990" w:type="dxa"/>
          </w:tcPr>
          <w:p w14:paraId="5462AD2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Peer-reviewed</w:t>
            </w:r>
          </w:p>
        </w:tc>
        <w:tc>
          <w:tcPr>
            <w:tcW w:w="990" w:type="dxa"/>
          </w:tcPr>
          <w:p w14:paraId="6899322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Cameroon, the </w:t>
            </w:r>
            <w:r w:rsidRPr="007675B1">
              <w:rPr>
                <w:rFonts w:ascii="Arial Narrow" w:hAnsi="Arial Narrow" w:cs="Arial"/>
                <w:b/>
                <w:bCs/>
                <w:sz w:val="20"/>
                <w:szCs w:val="20"/>
              </w:rPr>
              <w:t>Democratic Republic of the Congo</w:t>
            </w:r>
            <w:r w:rsidRPr="007675B1">
              <w:rPr>
                <w:rFonts w:ascii="Arial Narrow" w:hAnsi="Arial Narrow" w:cs="Arial"/>
                <w:sz w:val="20"/>
                <w:szCs w:val="20"/>
              </w:rPr>
              <w:t xml:space="preserve">, Malawi, Senegal, Sierra Leone, South </w:t>
            </w:r>
            <w:proofErr w:type="gramStart"/>
            <w:r w:rsidRPr="007675B1">
              <w:rPr>
                <w:rFonts w:ascii="Arial Narrow" w:hAnsi="Arial Narrow" w:cs="Arial"/>
                <w:sz w:val="20"/>
                <w:szCs w:val="20"/>
              </w:rPr>
              <w:t>Sudan</w:t>
            </w:r>
            <w:proofErr w:type="gramEnd"/>
            <w:r w:rsidRPr="007675B1">
              <w:rPr>
                <w:rFonts w:ascii="Arial Narrow" w:hAnsi="Arial Narrow" w:cs="Arial"/>
                <w:sz w:val="20"/>
                <w:szCs w:val="20"/>
              </w:rPr>
              <w:t xml:space="preserve"> and Zambia.</w:t>
            </w:r>
          </w:p>
        </w:tc>
        <w:tc>
          <w:tcPr>
            <w:tcW w:w="630" w:type="dxa"/>
          </w:tcPr>
          <w:p w14:paraId="582576C7"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Cross-sectional study</w:t>
            </w:r>
          </w:p>
        </w:tc>
        <w:tc>
          <w:tcPr>
            <w:tcW w:w="810" w:type="dxa"/>
          </w:tcPr>
          <w:p w14:paraId="304A991E"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21</w:t>
            </w:r>
          </w:p>
        </w:tc>
        <w:tc>
          <w:tcPr>
            <w:tcW w:w="2160" w:type="dxa"/>
          </w:tcPr>
          <w:p w14:paraId="38E0F229"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 xml:space="preserve">Financing: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programs can be cost effective and affordable when they are well-utilized and recurring management and supervision costs are managed.</w:t>
            </w:r>
          </w:p>
        </w:tc>
        <w:tc>
          <w:tcPr>
            <w:tcW w:w="3060" w:type="dxa"/>
          </w:tcPr>
          <w:p w14:paraId="28B6D5B4"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t>Facility readiness: Medicine stock–outs were reported in several studies.</w:t>
            </w:r>
            <w:r w:rsidRPr="007675B1">
              <w:rPr>
                <w:rFonts w:ascii="Arial Narrow" w:hAnsi="Arial Narrow" w:cs="Arial"/>
                <w:sz w:val="20"/>
                <w:szCs w:val="20"/>
              </w:rPr>
              <w:br/>
            </w:r>
            <w:r w:rsidRPr="007675B1">
              <w:rPr>
                <w:rFonts w:ascii="Arial Narrow" w:hAnsi="Arial Narrow" w:cs="Arial"/>
                <w:sz w:val="20"/>
                <w:szCs w:val="20"/>
              </w:rPr>
              <w:br/>
              <w:t xml:space="preserve">Financing: Countries with sub-national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programs, like the DRC, had much higher average total recurrent costs per capita than the national programs in Malawi and Senegal. Authors pointed to economies of scale in the national programs, though they noted contextual differences between the countries.</w:t>
            </w:r>
            <w:r w:rsidRPr="007675B1">
              <w:rPr>
                <w:rFonts w:ascii="Arial Narrow" w:hAnsi="Arial Narrow" w:cs="Arial"/>
                <w:sz w:val="20"/>
                <w:szCs w:val="20"/>
              </w:rPr>
              <w:br/>
            </w:r>
            <w:r w:rsidRPr="007675B1">
              <w:rPr>
                <w:rFonts w:ascii="Arial Narrow" w:hAnsi="Arial Narrow" w:cs="Arial"/>
                <w:sz w:val="20"/>
                <w:szCs w:val="20"/>
              </w:rPr>
              <w:br/>
              <w:t>Fixed management and supervision costs of staff contributed to program costs and affordability. In DRC and other sub-national programs, it was over 70% of total recurrent costs. Authors suggested they would lower relatively with program scale-up and government involvement.</w:t>
            </w:r>
            <w:r w:rsidRPr="007675B1">
              <w:rPr>
                <w:rFonts w:ascii="Arial Narrow" w:hAnsi="Arial Narrow" w:cs="Arial"/>
                <w:sz w:val="20"/>
                <w:szCs w:val="20"/>
              </w:rPr>
              <w:br/>
            </w:r>
            <w:r w:rsidRPr="007675B1">
              <w:rPr>
                <w:rFonts w:ascii="Arial Narrow" w:hAnsi="Arial Narrow" w:cs="Arial"/>
                <w:sz w:val="20"/>
                <w:szCs w:val="20"/>
              </w:rPr>
              <w:br/>
              <w:t xml:space="preserve">Training new CHWs following attrition also contributed to high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program costs. Authors did not measure the effect of renumerating CHWs. There was some evidence that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programs reduce other healthcare costs, such as in primary care facilities.</w:t>
            </w:r>
            <w:r w:rsidRPr="007675B1">
              <w:rPr>
                <w:rFonts w:ascii="Arial Narrow" w:hAnsi="Arial Narrow" w:cs="Arial"/>
                <w:sz w:val="20"/>
                <w:szCs w:val="20"/>
              </w:rPr>
              <w:br/>
            </w:r>
            <w:r w:rsidRPr="007675B1">
              <w:rPr>
                <w:rFonts w:ascii="Arial Narrow" w:hAnsi="Arial Narrow" w:cs="Arial"/>
                <w:sz w:val="20"/>
                <w:szCs w:val="20"/>
              </w:rPr>
              <w:br/>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programs may be higher cost in small, remote villages, where programs may be hindered by challenges with supplies and supervision.</w:t>
            </w:r>
            <w:r w:rsidRPr="007675B1">
              <w:rPr>
                <w:rFonts w:ascii="Arial Narrow" w:hAnsi="Arial Narrow" w:cs="Arial"/>
                <w:sz w:val="20"/>
                <w:szCs w:val="20"/>
              </w:rPr>
              <w:br/>
            </w:r>
            <w:r w:rsidRPr="007675B1">
              <w:rPr>
                <w:rFonts w:ascii="Arial Narrow" w:hAnsi="Arial Narrow" w:cs="Arial"/>
                <w:sz w:val="20"/>
                <w:szCs w:val="20"/>
              </w:rPr>
              <w:br/>
              <w:t>HRH:  CHW attrition was estimated at 40%.</w:t>
            </w:r>
            <w:r w:rsidRPr="007675B1">
              <w:rPr>
                <w:rFonts w:ascii="Arial Narrow" w:hAnsi="Arial Narrow" w:cs="Arial"/>
                <w:sz w:val="20"/>
                <w:szCs w:val="20"/>
              </w:rPr>
              <w:br/>
            </w:r>
            <w:r w:rsidRPr="007675B1">
              <w:rPr>
                <w:rFonts w:ascii="Arial Narrow" w:hAnsi="Arial Narrow" w:cs="Arial"/>
                <w:sz w:val="20"/>
                <w:szCs w:val="20"/>
              </w:rPr>
              <w:br/>
              <w:t xml:space="preserve">CHWs had high caseloads: The average number of children a CHW was responsible for in the DRC was 171, higher than four of the six other African countries studied. CHWs in the DRC </w:t>
            </w:r>
            <w:r w:rsidRPr="007675B1">
              <w:rPr>
                <w:rFonts w:ascii="Arial Narrow" w:hAnsi="Arial Narrow" w:cs="Arial"/>
                <w:sz w:val="20"/>
                <w:szCs w:val="20"/>
              </w:rPr>
              <w:lastRenderedPageBreak/>
              <w:t xml:space="preserve">reported the highest number of available hours per week for </w:t>
            </w:r>
            <w:proofErr w:type="spellStart"/>
            <w:r w:rsidRPr="007675B1">
              <w:rPr>
                <w:rFonts w:ascii="Arial Narrow" w:hAnsi="Arial Narrow" w:cs="Arial"/>
                <w:sz w:val="20"/>
                <w:szCs w:val="20"/>
              </w:rPr>
              <w:t>iCCM</w:t>
            </w:r>
            <w:proofErr w:type="spellEnd"/>
            <w:r w:rsidRPr="007675B1">
              <w:rPr>
                <w:rFonts w:ascii="Arial Narrow" w:hAnsi="Arial Narrow" w:cs="Arial"/>
                <w:sz w:val="20"/>
                <w:szCs w:val="20"/>
              </w:rPr>
              <w:t xml:space="preserve"> at 371.</w:t>
            </w:r>
          </w:p>
        </w:tc>
        <w:tc>
          <w:tcPr>
            <w:tcW w:w="1080" w:type="dxa"/>
          </w:tcPr>
          <w:p w14:paraId="093126D2" w14:textId="77777777" w:rsidR="00C32A5C" w:rsidRPr="007675B1" w:rsidRDefault="00C32A5C" w:rsidP="00C1776D">
            <w:pPr>
              <w:rPr>
                <w:rFonts w:ascii="Arial Narrow" w:hAnsi="Arial Narrow"/>
                <w:sz w:val="20"/>
                <w:szCs w:val="20"/>
              </w:rPr>
            </w:pPr>
            <w:r w:rsidRPr="007675B1">
              <w:rPr>
                <w:rFonts w:ascii="Arial Narrow" w:hAnsi="Arial Narrow" w:cs="Arial"/>
                <w:sz w:val="20"/>
                <w:szCs w:val="20"/>
              </w:rPr>
              <w:lastRenderedPageBreak/>
              <w:t xml:space="preserve">Facility Readiness, Geography/Transportation, HRH, Financing  </w:t>
            </w:r>
          </w:p>
        </w:tc>
      </w:tr>
    </w:tbl>
    <w:p w14:paraId="55C89B02" w14:textId="77777777" w:rsidR="00081502" w:rsidRPr="00C32A5C" w:rsidRDefault="00081502" w:rsidP="00D404E9"/>
    <w:p w14:paraId="7E4438E9" w14:textId="77777777" w:rsidR="00081502" w:rsidRPr="00081502" w:rsidRDefault="00081502" w:rsidP="00D404E9">
      <w:pPr>
        <w:rPr>
          <w:lang w:val="en-CA"/>
        </w:rPr>
      </w:pPr>
    </w:p>
    <w:sectPr w:rsidR="00081502" w:rsidRPr="00081502" w:rsidSect="00333F8A">
      <w:pgSz w:w="12240" w:h="15840"/>
      <w:pgMar w:top="1440" w:right="36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05"/>
    <w:rsid w:val="00061884"/>
    <w:rsid w:val="00081502"/>
    <w:rsid w:val="00087D53"/>
    <w:rsid w:val="000B32BF"/>
    <w:rsid w:val="000B6143"/>
    <w:rsid w:val="001C2A2B"/>
    <w:rsid w:val="00200A07"/>
    <w:rsid w:val="00215771"/>
    <w:rsid w:val="002A569C"/>
    <w:rsid w:val="003243BB"/>
    <w:rsid w:val="00333F8A"/>
    <w:rsid w:val="00381505"/>
    <w:rsid w:val="003B1AF7"/>
    <w:rsid w:val="003C22C2"/>
    <w:rsid w:val="003D0B24"/>
    <w:rsid w:val="003F15C3"/>
    <w:rsid w:val="00441D78"/>
    <w:rsid w:val="00446057"/>
    <w:rsid w:val="004B1060"/>
    <w:rsid w:val="00502D7C"/>
    <w:rsid w:val="005057F6"/>
    <w:rsid w:val="00520FD1"/>
    <w:rsid w:val="005435C6"/>
    <w:rsid w:val="00670618"/>
    <w:rsid w:val="0067183F"/>
    <w:rsid w:val="0068390A"/>
    <w:rsid w:val="00735EF0"/>
    <w:rsid w:val="00737CAC"/>
    <w:rsid w:val="0074603D"/>
    <w:rsid w:val="007B16FA"/>
    <w:rsid w:val="00800A5B"/>
    <w:rsid w:val="00921A26"/>
    <w:rsid w:val="00AA0BDF"/>
    <w:rsid w:val="00AC6584"/>
    <w:rsid w:val="00AF1832"/>
    <w:rsid w:val="00BA6097"/>
    <w:rsid w:val="00BC40FD"/>
    <w:rsid w:val="00C25795"/>
    <w:rsid w:val="00C32A5C"/>
    <w:rsid w:val="00CD6848"/>
    <w:rsid w:val="00D404E9"/>
    <w:rsid w:val="00DA0140"/>
    <w:rsid w:val="00DE5C49"/>
    <w:rsid w:val="00DF4A79"/>
    <w:rsid w:val="00F3123D"/>
    <w:rsid w:val="00F616FB"/>
    <w:rsid w:val="00FF6AC6"/>
    <w:rsid w:val="49279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2108"/>
  <w15:chartTrackingRefBased/>
  <w15:docId w15:val="{B39457E8-B6E5-4D54-927A-0B69D8CE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05"/>
    <w:rPr>
      <w:rFonts w:eastAsiaTheme="majorEastAsia" w:cstheme="majorBidi"/>
      <w:color w:val="272727" w:themeColor="text1" w:themeTint="D8"/>
    </w:rPr>
  </w:style>
  <w:style w:type="paragraph" w:styleId="Title">
    <w:name w:val="Title"/>
    <w:basedOn w:val="Normal"/>
    <w:next w:val="Normal"/>
    <w:link w:val="TitleChar"/>
    <w:uiPriority w:val="10"/>
    <w:qFormat/>
    <w:rsid w:val="0038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505"/>
    <w:pPr>
      <w:spacing w:before="160"/>
      <w:jc w:val="center"/>
    </w:pPr>
    <w:rPr>
      <w:i/>
      <w:iCs/>
      <w:color w:val="404040" w:themeColor="text1" w:themeTint="BF"/>
    </w:rPr>
  </w:style>
  <w:style w:type="character" w:customStyle="1" w:styleId="QuoteChar">
    <w:name w:val="Quote Char"/>
    <w:basedOn w:val="DefaultParagraphFont"/>
    <w:link w:val="Quote"/>
    <w:uiPriority w:val="29"/>
    <w:rsid w:val="00381505"/>
    <w:rPr>
      <w:i/>
      <w:iCs/>
      <w:color w:val="404040" w:themeColor="text1" w:themeTint="BF"/>
    </w:rPr>
  </w:style>
  <w:style w:type="paragraph" w:styleId="ListParagraph">
    <w:name w:val="List Paragraph"/>
    <w:basedOn w:val="Normal"/>
    <w:uiPriority w:val="34"/>
    <w:qFormat/>
    <w:rsid w:val="00381505"/>
    <w:pPr>
      <w:ind w:left="720"/>
      <w:contextualSpacing/>
    </w:pPr>
  </w:style>
  <w:style w:type="character" w:styleId="IntenseEmphasis">
    <w:name w:val="Intense Emphasis"/>
    <w:basedOn w:val="DefaultParagraphFont"/>
    <w:uiPriority w:val="21"/>
    <w:qFormat/>
    <w:rsid w:val="00381505"/>
    <w:rPr>
      <w:i/>
      <w:iCs/>
      <w:color w:val="0F4761" w:themeColor="accent1" w:themeShade="BF"/>
    </w:rPr>
  </w:style>
  <w:style w:type="paragraph" w:styleId="IntenseQuote">
    <w:name w:val="Intense Quote"/>
    <w:basedOn w:val="Normal"/>
    <w:next w:val="Normal"/>
    <w:link w:val="IntenseQuoteChar"/>
    <w:uiPriority w:val="30"/>
    <w:qFormat/>
    <w:rsid w:val="0038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05"/>
    <w:rPr>
      <w:i/>
      <w:iCs/>
      <w:color w:val="0F4761" w:themeColor="accent1" w:themeShade="BF"/>
    </w:rPr>
  </w:style>
  <w:style w:type="character" w:styleId="IntenseReference">
    <w:name w:val="Intense Reference"/>
    <w:basedOn w:val="DefaultParagraphFont"/>
    <w:uiPriority w:val="32"/>
    <w:qFormat/>
    <w:rsid w:val="00381505"/>
    <w:rPr>
      <w:b/>
      <w:bCs/>
      <w:smallCaps/>
      <w:color w:val="0F4761" w:themeColor="accent1" w:themeShade="BF"/>
      <w:spacing w:val="5"/>
    </w:rPr>
  </w:style>
  <w:style w:type="paragraph" w:customStyle="1" w:styleId="RunHead">
    <w:name w:val="RunHead"/>
    <w:basedOn w:val="Normal"/>
    <w:link w:val="RunHeadChar"/>
    <w:rsid w:val="00C25795"/>
    <w:pPr>
      <w:spacing w:after="120" w:line="240" w:lineRule="auto"/>
    </w:pPr>
    <w:rPr>
      <w:rFonts w:ascii="Times New Roman" w:eastAsia="Times New Roman" w:hAnsi="Times New Roman" w:cs="Times New Roman"/>
      <w:kern w:val="0"/>
      <w:sz w:val="26"/>
      <w:szCs w:val="20"/>
      <w14:ligatures w14:val="none"/>
    </w:rPr>
  </w:style>
  <w:style w:type="character" w:customStyle="1" w:styleId="RunHeadChar">
    <w:name w:val="RunHead Char"/>
    <w:basedOn w:val="DefaultParagraphFont"/>
    <w:link w:val="RunHead"/>
    <w:rsid w:val="00C25795"/>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C25795"/>
    <w:rPr>
      <w:sz w:val="16"/>
      <w:szCs w:val="16"/>
    </w:rPr>
  </w:style>
  <w:style w:type="paragraph" w:styleId="CommentText">
    <w:name w:val="annotation text"/>
    <w:basedOn w:val="Normal"/>
    <w:link w:val="CommentTextChar"/>
    <w:uiPriority w:val="99"/>
    <w:unhideWhenUsed/>
    <w:rsid w:val="00C2579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25795"/>
    <w:rPr>
      <w:kern w:val="0"/>
      <w:sz w:val="20"/>
      <w:szCs w:val="20"/>
      <w:lang w:val="en-GB"/>
      <w14:ligatures w14:val="none"/>
    </w:rPr>
  </w:style>
  <w:style w:type="table" w:styleId="TableGrid">
    <w:name w:val="Table Grid"/>
    <w:basedOn w:val="TableNormal"/>
    <w:uiPriority w:val="39"/>
    <w:rsid w:val="00CD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BDF"/>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paragraph" w:customStyle="1" w:styleId="CM1">
    <w:name w:val="CM1"/>
    <w:basedOn w:val="Default"/>
    <w:next w:val="Default"/>
    <w:rsid w:val="001C2A2B"/>
    <w:rPr>
      <w:rFonts w:cs="Times New Roman"/>
      <w:color w:val="auto"/>
    </w:rPr>
  </w:style>
  <w:style w:type="character" w:styleId="Hyperlink">
    <w:name w:val="Hyperlink"/>
    <w:rsid w:val="001C2A2B"/>
    <w:rPr>
      <w:color w:val="0563C1"/>
      <w:u w:val="single"/>
    </w:rPr>
  </w:style>
  <w:style w:type="paragraph" w:styleId="CommentSubject">
    <w:name w:val="annotation subject"/>
    <w:basedOn w:val="CommentText"/>
    <w:next w:val="CommentText"/>
    <w:link w:val="CommentSubjectChar"/>
    <w:uiPriority w:val="99"/>
    <w:semiHidden/>
    <w:unhideWhenUsed/>
    <w:rsid w:val="00502D7C"/>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502D7C"/>
    <w:rPr>
      <w:b/>
      <w:bCs/>
      <w:kern w:val="0"/>
      <w:sz w:val="20"/>
      <w:szCs w:val="20"/>
      <w:lang w:val="en-GB"/>
      <w14:ligatures w14:val="none"/>
    </w:rPr>
  </w:style>
  <w:style w:type="character" w:styleId="Mention">
    <w:name w:val="Mention"/>
    <w:basedOn w:val="DefaultParagraphFont"/>
    <w:uiPriority w:val="99"/>
    <w:unhideWhenUsed/>
    <w:rsid w:val="00502D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sma-statement.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546882c4-5ca9-4d78-93df-df00dc2e03f9" xsi:nil="true"/>
    <lcf76f155ced4ddcb4097134ff3c332f xmlns="546882c4-5ca9-4d78-93df-df00dc2e03f9">
      <Terms xmlns="http://schemas.microsoft.com/office/infopath/2007/PartnerControls"/>
    </lcf76f155ced4ddcb4097134ff3c332f>
    <TaxCatchAll xmlns="6c854b04-c9c6-4391-adbe-2e7319127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7945CB5099743992C5A955DAA2B9D" ma:contentTypeVersion="20" ma:contentTypeDescription="Create a new document." ma:contentTypeScope="" ma:versionID="5815af3775db9e98242fea5efcb4d2fc">
  <xsd:schema xmlns:xsd="http://www.w3.org/2001/XMLSchema" xmlns:xs="http://www.w3.org/2001/XMLSchema" xmlns:p="http://schemas.microsoft.com/office/2006/metadata/properties" xmlns:ns2="546882c4-5ca9-4d78-93df-df00dc2e03f9" xmlns:ns3="eb263bbe-1c1c-4452-afd6-01bef2091611" xmlns:ns4="6c854b04-c9c6-4391-adbe-2e73191270e7" targetNamespace="http://schemas.microsoft.com/office/2006/metadata/properties" ma:root="true" ma:fieldsID="27212bfd87ef26b9c336d8473970b334" ns2:_="" ns3:_="" ns4:_="">
    <xsd:import namespace="546882c4-5ca9-4d78-93df-df00dc2e03f9"/>
    <xsd:import namespace="eb263bbe-1c1c-4452-afd6-01bef2091611"/>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882c4-5ca9-4d78-93df-df00dc2e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63bbe-1c1c-4452-afd6-01bef20916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1dce976-865f-4af8-a22e-3e514a4de2d1}" ma:internalName="TaxCatchAll" ma:showField="CatchAllData" ma:web="eb263bbe-1c1c-4452-afd6-01bef2091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E081E-15D3-44A4-9489-158D24D8E9BF}">
  <ds:schemaRefs>
    <ds:schemaRef ds:uri="http://schemas.microsoft.com/office/2006/metadata/properties"/>
    <ds:schemaRef ds:uri="http://schemas.microsoft.com/office/infopath/2007/PartnerControls"/>
    <ds:schemaRef ds:uri="546882c4-5ca9-4d78-93df-df00dc2e03f9"/>
    <ds:schemaRef ds:uri="6c854b04-c9c6-4391-adbe-2e73191270e7"/>
  </ds:schemaRefs>
</ds:datastoreItem>
</file>

<file path=customXml/itemProps2.xml><?xml version="1.0" encoding="utf-8"?>
<ds:datastoreItem xmlns:ds="http://schemas.openxmlformats.org/officeDocument/2006/customXml" ds:itemID="{2A7FE0D3-D05A-46FE-B819-05A887397C91}">
  <ds:schemaRefs>
    <ds:schemaRef ds:uri="http://schemas.microsoft.com/sharepoint/v3/contenttype/forms"/>
  </ds:schemaRefs>
</ds:datastoreItem>
</file>

<file path=customXml/itemProps3.xml><?xml version="1.0" encoding="utf-8"?>
<ds:datastoreItem xmlns:ds="http://schemas.openxmlformats.org/officeDocument/2006/customXml" ds:itemID="{F8C8EE17-4C3F-43C5-BE4A-9201A274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882c4-5ca9-4d78-93df-df00dc2e03f9"/>
    <ds:schemaRef ds:uri="eb263bbe-1c1c-4452-afd6-01bef2091611"/>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7307</Words>
  <Characters>41653</Characters>
  <Application>Microsoft Office Word</Application>
  <DocSecurity>0</DocSecurity>
  <Lines>347</Lines>
  <Paragraphs>97</Paragraphs>
  <ScaleCrop>false</ScaleCrop>
  <Company/>
  <LinksUpToDate>false</LinksUpToDate>
  <CharactersWithSpaces>48863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Duff</dc:creator>
  <cp:keywords/>
  <dc:description/>
  <cp:lastModifiedBy>Adeloye, Davies</cp:lastModifiedBy>
  <cp:revision>41</cp:revision>
  <dcterms:created xsi:type="dcterms:W3CDTF">2024-03-27T18:07:00Z</dcterms:created>
  <dcterms:modified xsi:type="dcterms:W3CDTF">2024-05-04T13:20:00Z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0x010100EC57945CB5099743992C5A955DAA2B9D</vt:lpwstr>
  </property>
  <property fmtid="{D5CDD505-2E9C-101B-9397-08002B2CF9AE}" pid="3" name="MediaServiceImageTags">
    <vt:lpwstr/>
  </property>
</Properties>
</file>